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800"/>
      </w:pPr>
    </w:p>
    <w:p>
      <w:pPr>
        <w:jc w:val="center"/>
      </w:pPr>
      <w:r>
        <w:rPr>
          <w:b/>
          <w:bCs/>
          <w:color w:val="0B3357"/>
          <w:sz w:val="56"/>
          <w:szCs w:val="56"/>
        </w:rPr>
        <w:t xml:space="preserve">NRI Property Guard</w:t>
      </w:r>
    </w:p>
    <w:p>
      <w:pPr>
        <w:spacing w:after="400" w:before="200"/>
        <w:jc w:val="center"/>
      </w:pPr>
      <w:r>
        <w:rPr>
          <w:color w:val="0A6B52"/>
          <w:sz w:val="32"/>
          <w:szCs w:val="32"/>
        </w:rPr>
        <w:t xml:space="preserve">Website — QA, Security &amp; Performance Test Report</w:t>
      </w:r>
    </w:p>
    <w:p>
      <w:pPr>
        <w:spacing w:after="100"/>
        <w:jc w:val="center"/>
      </w:pPr>
      <w:r>
        <w:rPr>
          <w:color w:val="5B6B76"/>
          <w:sz w:val="22"/>
          <w:szCs w:val="22"/>
        </w:rPr>
        <w:t xml:space="preserve">Prepared for: nripropertyguard.in</w:t>
      </w:r>
    </w:p>
    <w:p>
      <w:pPr>
        <w:spacing w:after="100"/>
        <w:jc w:val="center"/>
      </w:pPr>
      <w:r>
        <w:rPr>
          <w:color w:val="5B6B76"/>
          <w:sz w:val="22"/>
          <w:szCs w:val="22"/>
        </w:rPr>
        <w:t xml:space="preserve">Scope: marketing website + owner web portal (live Supabase backend)</w:t>
      </w:r>
    </w:p>
    <w:p>
      <w:pPr>
        <w:jc w:val="center"/>
      </w:pPr>
      <w:r>
        <w:rPr>
          <w:color w:val="5B6B76"/>
          <w:sz w:val="22"/>
          <w:szCs w:val="22"/>
        </w:rPr>
        <w:t xml:space="preserve">Date: 26 August 2026</w:t>
      </w:r>
    </w:p>
    <w:p>
      <w:r>
        <w:br w:type="page"/>
      </w:r>
    </w:p>
    <w:p>
      <w:pPr>
        <w:pStyle w:val="Heading1"/>
        <w:spacing w:after="160" w:before="320"/>
      </w:pPr>
      <w:r>
        <w:t xml:space="preserve">1. Executive Summary</w:t>
      </w:r>
    </w:p>
    <w:p>
      <w:pPr>
        <w:spacing w:after="140"/>
      </w:pPr>
      <w:r>
        <w:t xml:space="preserve">This report documents functional, accessibility, security, and performance testing of the NRI Property Guard marketing website and owner web portal built in this engagement. Testing covered every marketing page, the WhatsApp contact widget, the lead-capture form, the owner login/registration screen, and the site's SEO and structured-data output, plus a security and performance review of the live Supabase backend the portal reads from and writes to.</w:t>
      </w:r>
    </w:p>
    <w:p>
      <w:pPr>
        <w:spacing w:after="140"/>
      </w:pPr>
      <w:r>
        <w:t xml:space="preserve">Testing found and fixed sixteen real defects across this engagement — not simulated findings, but bugs an automated test run actually caught, including one that would have silently broken the contact form's confirmation message for every real visitor, one that broke the FAQ page's structured data so it could never validate for Google's rich-result eligibility, one high-priority access-control bug (Section 3.2) where a signed-in Admin, Property Manager, or Property Executive account was silently shown the customer dashboard instead of its own, one found while testing the Phase 3 enhancements below where the Property Owner's Site Visits tab could get permanently stuck on its loading skeleton (Section 3.4), one found while building the Phase 4 enhancements below where a photo or video captured with only a partial GPS fix (latitude but no longitude) crashed the entire property detail view instead of just that one media tile (Section 3.6), one found while building the Phase 5 enhancements below where the new persistent timestamp/GPS overlay could cover a modal's own close button when its media hadn't finished loading (Section 3.7), one found while fixing the Phase 6 nav bar enhancements below where the mobile menu drawer — a pre-existing defect that had shipped with the original site — could collapse to a thin sliver or overlap the header, caused by a CSS containing-block interaction between the nav bar's frosted-glass blur and the drawer's fixed positioning (Section 3.8), one found while rebuilding the Phase 7 Documents &amp; Invoices screen below where the invoice status pill had no color styling defined for any of its three real values, a pre-existing cosmetic defect (Section 3.9), and one found while investigating a reported performance problem below where every property's thumbnail photo was silently re-signed and re-downloaded roughly every 30 seconds regardless of which dashboard tab was open, a defect that had shipped since Phase 4 and simply hadn't been noticed because no earlier test measured repeated-visit behavior over time (Section 3.11). The access-control bug then grew into a new capability, not just a fix: Section 3.3 covers the three new web dashboards built for Admin, Property Manager, and Property Executive roles, each backed by the same RPCs and Row-Level Security the mobile app already relies on. Section 3.4 covers a further round of enhancements requested after that: reassigning an already-assigned property or visit (with full owner/property/schedule context shown before reassigning), a visible "Response Received" badge when a support ticket gets a reply, and a new Visit Detail drill-down so a Property Owner can see a specific visit's property details, inspection checklist, notes, manager remarks, photos and videos. Section 3.5 closes a genuine content gap on the Property Owner's "My Property" screen — an inspection checklist card that existed per-visit but not at the property level, which the user had specifically compared against the mobile app. Section 3.6 covers a fourth round: a lightbox timestamp/GPS caption so a Property Owner can see exactly when a photo or video was captured while actually viewing it full-size (not just in the small grid tile), a reference-photo thumbnail on every "My Property" card, and a full Admin "Customer 360" view — total customers, properties per customer, Regular/Prime membership tier, and a per-customer financial statement (invoiced, paid, due) with the assigned Property Manager and latest Visit Executive for every property. Section 3.7 covers a fifth round: that same timestamp/GPS information is now a persistent on-screen stamp on every photo and video, on every dashboard (including the Property Executive's and Property Manager's screens, which previously showed none at all); a Property Executive's photo/video upload is now rejected outright when no GPS fix is available, rather than uploaded without it; and every dashboard now silently auto-refreshes its data every 30 seconds. Section 3.8 covers a sixth round: the homepage nav bar no longer wraps or misaligns at in-between desktop widths, the mobile menu drawer bug above is fixed, and every dashboard's photo/video lightbox now opens at a fixed, comfortable size with no internal scrolling and a maximize control. Section 3.9 covers a seventh round: pricing now depends on visit frequency and automatically discounts per-property once a customer has more than 2 properties, the Documents &amp; Invoices screen was rebuilt to match the mobile app's card layout, and a UPI-based Pay Now button was added. Section 3.10 covers an eighth round, requested by the account owner as the more important of two follow-ups: the persistent on-screen timestamp/GPS overlay added in Sections 3.6-3.7 has been removed from every photo and video across all three dashboards — GPS and capture time are still recorded on every upload for the tamper-evident audit trail, they are simply no longer drawn on top of the media — while the "My Property" registration-photo thumbnail from Section 3.6 was confirmed already working correctly as-is. Section 3.11 covers a ninth round, prompted by a report that the website feels slow: a genuine repeated-download bug was found and fixed, where every property's thumbnail photo was silently re-signed and re-downloaded roughly every 30 seconds regardless of which tab was open, for as long as the dashboard stayed open; two smaller hardening changes (lazy-loaded thumbnails, a finite rather than infinite attention-pulse animation) and a new .htaccess enabling compression and browser caching on the live host were added alongside it. All sixteen defects found across the engagement are fixed, verified, and re-tested. The final automated functional suite passes 214/214 checks. Lighthouse accessibility is 100/100 on every audited page (up from 89/100 on the homepage at the start of this pass). No critical or high-severity security issues were found; the two accepted-risk items (leaked-password protection, and ~76 SECURITY DEFINER function advisories) are explained in Section 5 with a clear recommendation.</w:t>
      </w:r>
    </w:p>
    <w:p>
      <w:pPr>
        <w:spacing w:after="140"/>
      </w:pPr>
      <w:r>
        <w:t xml:space="preserve">Overall verdict: the site is functionally sound, accessible, reasonably fast, and built on a defense-in-depth data access model (Postgres Row-Level Security on every table, not just a hidden API key). The recommendations in Sections 5.8 and 6.5 are hygiene improvements, not blockers.</w:t>
      </w:r>
    </w:p>
    <w:p>
      <w:pPr>
        <w:pStyle w:val="Heading1"/>
        <w:spacing w:after="160" w:before="320"/>
      </w:pPr>
      <w:r>
        <w:t xml:space="preserve">2. Scope &amp; Methodology</w:t>
      </w:r>
    </w:p>
    <w:p>
      <w:pPr>
        <w:pStyle w:val="Heading2"/>
        <w:spacing w:after="120" w:before="260"/>
      </w:pPr>
      <w:r>
        <w:t xml:space="preserve">2.1 What was tested</w:t>
      </w:r>
    </w:p>
    <w:p>
      <w:pPr>
        <w:pStyle w:val="ListParagraph"/>
        <w:numPr>
          <w:ilvl w:val="0"/>
          <w:numId w:val="1"/>
        </w:numPr>
        <w:spacing w:after="80"/>
      </w:pPr>
      <w:r>
        <w:t xml:space="preserve">All 9 public marketing pages: Home, Services, How It Works, Pricing, About, FAQ, Contact, Privacy Policy, Terms.</w:t>
      </w:r>
    </w:p>
    <w:p>
      <w:pPr>
        <w:pStyle w:val="ListParagraph"/>
        <w:numPr>
          <w:ilvl w:val="0"/>
          <w:numId w:val="1"/>
        </w:numPr>
        <w:spacing w:after="80"/>
      </w:pPr>
      <w:r>
        <w:t xml:space="preserve">The owner web portal login/registration screen (portal/index.html), including its live connection to the production Supabase project.</w:t>
      </w:r>
    </w:p>
    <w:p>
      <w:pPr>
        <w:pStyle w:val="ListParagraph"/>
        <w:numPr>
          <w:ilvl w:val="0"/>
          <w:numId w:val="1"/>
        </w:numPr>
        <w:spacing w:after="80"/>
      </w:pPr>
      <w:r>
        <w:t xml:space="preserve">The WhatsApp "Speak to an Expert" widget, styled against the reference screenshot supplied for this project.</w:t>
      </w:r>
    </w:p>
    <w:p>
      <w:pPr>
        <w:pStyle w:val="ListParagraph"/>
        <w:numPr>
          <w:ilvl w:val="0"/>
          <w:numId w:val="1"/>
        </w:numPr>
        <w:spacing w:after="80"/>
      </w:pPr>
      <w:r>
        <w:t xml:space="preserve">The contact/lead-capture form and its write path into a new website_leads Supabase table.</w:t>
      </w:r>
    </w:p>
    <w:p>
      <w:pPr>
        <w:pStyle w:val="ListParagraph"/>
        <w:numPr>
          <w:ilvl w:val="0"/>
          <w:numId w:val="1"/>
        </w:numPr>
        <w:spacing w:after="80"/>
      </w:pPr>
      <w:r>
        <w:t xml:space="preserve">SEO output: meta tags, canonical URLs, Open Graph tags, Organization and FAQPage structured data, robots.txt, sitemap.xml.</w:t>
      </w:r>
    </w:p>
    <w:p>
      <w:pPr>
        <w:pStyle w:val="ListParagraph"/>
        <w:numPr>
          <w:ilvl w:val="0"/>
          <w:numId w:val="1"/>
        </w:numPr>
        <w:spacing w:after="80"/>
      </w:pPr>
      <w:r>
        <w:t xml:space="preserve">The live Supabase project's Row-Level Security policies, authentication configuration, storage bucket policies, and the project's own Security and Performance Advisors.</w:t>
      </w:r>
    </w:p>
    <w:p>
      <w:pPr>
        <w:pStyle w:val="Heading2"/>
        <w:spacing w:after="120" w:before="260"/>
      </w:pPr>
      <w:r>
        <w:t xml:space="preserve">2.2 Tools used, and one substitution worth explaining</w:t>
      </w:r>
    </w:p>
    <w:p>
      <w:pPr>
        <w:spacing w:after="140"/>
      </w:pPr>
      <w:r>
        <w:t xml:space="preserve">This project was built and tested inside a sandboxed cloud environment. The functional test suite was written twice: once in Selenium (Python), delivered as runnable code in selenium/test_functionality.py for you to run in any normal environment or CI pipeline; and once in Playwright (Python), which is what actually produced the pass/fail results in this report.</w:t>
      </w:r>
    </w:p>
    <w:p>
      <w:pPr>
        <w:spacing w:after="140"/>
      </w:pPr>
      <w:r>
        <w:t xml:space="preserve">The reason is a hard environment constraint, not a design choice: this sandbox's pre-installed Chromium is version 141, but the only chromedriver available is version 147 — a mismatch Selenium cannot bridge without downloading a matching driver, and that download requires reaching googlechromelabs.github.io, which this sandbox's network allowlist blocks outright. Playwright ships its browser and driver pre-matched and installed offline, so it was unaffected and was used to get real, executed results. The Selenium suite covers the identical scenarios and is ready to run as-is in an unrestricted environment; selenium/README.md documents this in full.</w:t>
      </w:r>
    </w:p>
    <w:p>
      <w:pPr>
        <w:spacing w:after="140"/>
      </w:pPr>
      <w:r>
        <w:t xml:space="preserve">Lighthouse (Google's own auditing engine) was used for accessibility, performance, best-practices, and SEO scoring, run headlessly against the built site.</w:t>
      </w:r>
    </w:p>
    <w:p>
      <w:pPr>
        <w:pStyle w:val="Heading1"/>
        <w:spacing w:after="160" w:before="320"/>
      </w:pPr>
      <w:r>
        <w:t xml:space="preserve">3. Functional Test Results</w:t>
      </w:r>
    </w:p>
    <w:p>
      <w:pPr>
        <w:spacing w:after="140"/>
      </w:pPr>
      <w:r>
        <w:t xml:space="preserve">The Playwright suite (tests/test_playwright_suite.py) runs 214 individual assertions across 18 test areas. Final result: 214/214 passed.</w:t>
      </w:r>
    </w:p>
    <w:tbl>
      <w:tblPr>
        <w:tblW w:type="dxa" w:w="9200"/>
        <w:tblBorders>
          <w:top w:val="single" w:color="auto" w:sz="4"/>
          <w:left w:val="single" w:color="auto" w:sz="4"/>
          <w:bottom w:val="single" w:color="auto" w:sz="4"/>
          <w:right w:val="single" w:color="auto" w:sz="4"/>
          <w:insideH w:val="single" w:color="auto" w:sz="4"/>
          <w:insideV w:val="single" w:color="auto" w:sz="4"/>
        </w:tblBorders>
      </w:tblPr>
      <w:tblGrid>
        <w:gridCol w:w="2400"/>
        <w:gridCol w:w="5400"/>
        <w:gridCol w:w="1400"/>
      </w:tblGrid>
      <w:tr>
        <w:trPr>
          <w:tblHeader/>
        </w:trPr>
        <w:tc>
          <w:tcPr>
            <w:tcW w:type="dxa" w:w="2400"/>
            <w:shd w:fill="0B3357" w:val="clear"/>
          </w:tcPr>
          <w:p>
            <w:r>
              <w:rPr>
                <w:b/>
                <w:bCs/>
                <w:color w:val="FFFFFF"/>
              </w:rPr>
              <w:t xml:space="preserve">Test area</w:t>
            </w:r>
          </w:p>
        </w:tc>
        <w:tc>
          <w:tcPr>
            <w:tcW w:type="dxa" w:w="5400"/>
            <w:shd w:fill="0B3357" w:val="clear"/>
          </w:tcPr>
          <w:p>
            <w:r>
              <w:rPr>
                <w:b/>
                <w:bCs/>
                <w:color w:val="FFFFFF"/>
              </w:rPr>
              <w:t xml:space="preserve">What it checks</w:t>
            </w:r>
          </w:p>
        </w:tc>
        <w:tc>
          <w:tcPr>
            <w:tcW w:type="dxa" w:w="1400"/>
            <w:shd w:fill="0B3357" w:val="clear"/>
          </w:tcPr>
          <w:p>
            <w:r>
              <w:rPr>
                <w:b/>
                <w:bCs/>
                <w:color w:val="FFFFFF"/>
              </w:rPr>
              <w:t xml:space="preserve">Result</w:t>
            </w:r>
          </w:p>
        </w:tc>
      </w:tr>
      <w:tr>
        <w:tc>
          <w:tcPr>
            <w:tcW w:type="dxa" w:w="2400"/>
          </w:tcPr>
          <w:p>
            <w:r>
              <w:rPr>
                <w:b w:val="false"/>
                <w:bCs w:val="false"/>
              </w:rPr>
              <w:t xml:space="preserve">Page health</w:t>
            </w:r>
          </w:p>
        </w:tc>
        <w:tc>
          <w:tcPr>
            <w:tcW w:type="dxa" w:w="5400"/>
          </w:tcPr>
          <w:p>
            <w:r>
              <w:rPr>
                <w:b w:val="false"/>
                <w:bCs w:val="false"/>
              </w:rPr>
              <w:t xml:space="preserve">All 10 pages return 200, exactly one &lt;h1&gt;, no unexpected console errors</w:t>
            </w:r>
          </w:p>
        </w:tc>
        <w:tc>
          <w:tcPr>
            <w:tcW w:type="dxa" w:w="1400"/>
          </w:tcPr>
          <w:p>
            <w:r>
              <w:rPr>
                <w:b w:val="false"/>
                <w:bCs w:val="false"/>
              </w:rPr>
              <w:t xml:space="preserve">Pass</w:t>
            </w:r>
          </w:p>
        </w:tc>
      </w:tr>
      <w:tr>
        <w:tc>
          <w:tcPr>
            <w:tcW w:type="dxa" w:w="2400"/>
            <w:shd w:fill="F4F9FD" w:val="clear"/>
          </w:tcPr>
          <w:p>
            <w:r>
              <w:rPr>
                <w:b w:val="false"/>
                <w:bCs w:val="false"/>
              </w:rPr>
              <w:t xml:space="preserve">SEO metadata</w:t>
            </w:r>
          </w:p>
        </w:tc>
        <w:tc>
          <w:tcPr>
            <w:tcW w:type="dxa" w:w="5400"/>
            <w:shd w:fill="F4F9FD" w:val="clear"/>
          </w:tcPr>
          <w:p>
            <w:r>
              <w:rPr>
                <w:b w:val="false"/>
                <w:bCs w:val="false"/>
              </w:rPr>
              <w:t xml:space="preserve">Title, description, canonical, Open Graph tags present on every indexable page; portal login correctly marked noindex</w:t>
            </w:r>
          </w:p>
        </w:tc>
        <w:tc>
          <w:tcPr>
            <w:tcW w:type="dxa" w:w="1400"/>
            <w:shd w:fill="F4F9FD" w:val="clear"/>
          </w:tcPr>
          <w:p>
            <w:r>
              <w:rPr>
                <w:b w:val="false"/>
                <w:bCs w:val="false"/>
              </w:rPr>
              <w:t xml:space="preserve">Pass</w:t>
            </w:r>
          </w:p>
        </w:tc>
      </w:tr>
      <w:tr>
        <w:tc>
          <w:tcPr>
            <w:tcW w:type="dxa" w:w="2400"/>
          </w:tcPr>
          <w:p>
            <w:r>
              <w:rPr>
                <w:b w:val="false"/>
                <w:bCs w:val="false"/>
              </w:rPr>
              <w:t xml:space="preserve">Structured data</w:t>
            </w:r>
          </w:p>
        </w:tc>
        <w:tc>
          <w:tcPr>
            <w:tcW w:type="dxa" w:w="5400"/>
          </w:tcPr>
          <w:p>
            <w:r>
              <w:rPr>
                <w:b w:val="false"/>
                <w:bCs w:val="false"/>
              </w:rPr>
              <w:t xml:space="preserve">Organization JSON-LD (home) and FAQPage JSON-LD (FAQ) present and parse as valid JSON</w:t>
            </w:r>
          </w:p>
        </w:tc>
        <w:tc>
          <w:tcPr>
            <w:tcW w:type="dxa" w:w="1400"/>
          </w:tcPr>
          <w:p>
            <w:r>
              <w:rPr>
                <w:b w:val="false"/>
                <w:bCs w:val="false"/>
              </w:rPr>
              <w:t xml:space="preserve">Pass</w:t>
            </w:r>
          </w:p>
        </w:tc>
      </w:tr>
      <w:tr>
        <w:tc>
          <w:tcPr>
            <w:tcW w:type="dxa" w:w="2400"/>
            <w:shd w:fill="F4F9FD" w:val="clear"/>
          </w:tcPr>
          <w:p>
            <w:r>
              <w:rPr>
                <w:b w:val="false"/>
                <w:bCs w:val="false"/>
              </w:rPr>
              <w:t xml:space="preserve">WhatsApp widget</w:t>
            </w:r>
          </w:p>
        </w:tc>
        <w:tc>
          <w:tcPr>
            <w:tcW w:type="dxa" w:w="5400"/>
            <w:shd w:fill="F4F9FD" w:val="clear"/>
          </w:tcPr>
          <w:p>
            <w:r>
              <w:rPr>
                <w:b w:val="false"/>
                <w:bCs w:val="false"/>
              </w:rPr>
              <w:t xml:space="preserve">FAB opens the panel; WhatsApp link targets +91 99480 39325; Call Us link targets the same number; close button works</w:t>
            </w:r>
          </w:p>
        </w:tc>
        <w:tc>
          <w:tcPr>
            <w:tcW w:type="dxa" w:w="1400"/>
            <w:shd w:fill="F4F9FD" w:val="clear"/>
          </w:tcPr>
          <w:p>
            <w:r>
              <w:rPr>
                <w:b w:val="false"/>
                <w:bCs w:val="false"/>
              </w:rPr>
              <w:t xml:space="preserve">Pass</w:t>
            </w:r>
          </w:p>
        </w:tc>
      </w:tr>
      <w:tr>
        <w:tc>
          <w:tcPr>
            <w:tcW w:type="dxa" w:w="2400"/>
          </w:tcPr>
          <w:p>
            <w:r>
              <w:rPr>
                <w:b w:val="false"/>
                <w:bCs w:val="false"/>
              </w:rPr>
              <w:t xml:space="preserve">Mobile navigation</w:t>
            </w:r>
          </w:p>
        </w:tc>
        <w:tc>
          <w:tcPr>
            <w:tcW w:type="dxa" w:w="5400"/>
          </w:tcPr>
          <w:p>
            <w:r>
              <w:rPr>
                <w:b w:val="false"/>
                <w:bCs w:val="false"/>
              </w:rPr>
              <w:t xml:space="preserve">Menu toggle visible under 940px, opens/closes correctly, closes after a link is clicked</w:t>
            </w:r>
          </w:p>
        </w:tc>
        <w:tc>
          <w:tcPr>
            <w:tcW w:type="dxa" w:w="1400"/>
          </w:tcPr>
          <w:p>
            <w:r>
              <w:rPr>
                <w:b w:val="false"/>
                <w:bCs w:val="false"/>
              </w:rPr>
              <w:t xml:space="preserve">Pass</w:t>
            </w:r>
          </w:p>
        </w:tc>
      </w:tr>
      <w:tr>
        <w:tc>
          <w:tcPr>
            <w:tcW w:type="dxa" w:w="2400"/>
            <w:shd w:fill="F4F9FD" w:val="clear"/>
          </w:tcPr>
          <w:p>
            <w:r>
              <w:rPr>
                <w:b w:val="false"/>
                <w:bCs w:val="false"/>
              </w:rPr>
              <w:t xml:space="preserve">Active nav-link logic</w:t>
            </w:r>
          </w:p>
        </w:tc>
        <w:tc>
          <w:tcPr>
            <w:tcW w:type="dxa" w:w="5400"/>
            <w:shd w:fill="F4F9FD" w:val="clear"/>
          </w:tcPr>
          <w:p>
            <w:r>
              <w:rPr>
                <w:b w:val="false"/>
                <w:bCs w:val="false"/>
              </w:rPr>
              <w:t xml:space="preserve">The Owner Login link never incorrectly shows as the active page (regression test)</w:t>
            </w:r>
          </w:p>
        </w:tc>
        <w:tc>
          <w:tcPr>
            <w:tcW w:type="dxa" w:w="1400"/>
            <w:shd w:fill="F4F9FD" w:val="clear"/>
          </w:tcPr>
          <w:p>
            <w:r>
              <w:rPr>
                <w:b w:val="false"/>
                <w:bCs w:val="false"/>
              </w:rPr>
              <w:t xml:space="preserve">Pass</w:t>
            </w:r>
          </w:p>
        </w:tc>
      </w:tr>
      <w:tr>
        <w:tc>
          <w:tcPr>
            <w:tcW w:type="dxa" w:w="2400"/>
          </w:tcPr>
          <w:p>
            <w:r>
              <w:rPr>
                <w:b w:val="false"/>
                <w:bCs w:val="false"/>
              </w:rPr>
              <w:t xml:space="preserve">FAQ accordion</w:t>
            </w:r>
          </w:p>
        </w:tc>
        <w:tc>
          <w:tcPr>
            <w:tcW w:type="dxa" w:w="5400"/>
          </w:tcPr>
          <w:p>
            <w:r>
              <w:rPr>
                <w:b w:val="false"/>
                <w:bCs w:val="false"/>
              </w:rPr>
              <w:t xml:space="preserve">Expand and collapse behaviour on a closed item</w:t>
            </w:r>
          </w:p>
        </w:tc>
        <w:tc>
          <w:tcPr>
            <w:tcW w:type="dxa" w:w="1400"/>
          </w:tcPr>
          <w:p>
            <w:r>
              <w:rPr>
                <w:b w:val="false"/>
                <w:bCs w:val="false"/>
              </w:rPr>
              <w:t xml:space="preserve">Pass</w:t>
            </w:r>
          </w:p>
        </w:tc>
      </w:tr>
      <w:tr>
        <w:tc>
          <w:tcPr>
            <w:tcW w:type="dxa" w:w="2400"/>
            <w:shd w:fill="F4F9FD" w:val="clear"/>
          </w:tcPr>
          <w:p>
            <w:r>
              <w:rPr>
                <w:b w:val="false"/>
                <w:bCs w:val="false"/>
              </w:rPr>
              <w:t xml:space="preserve">Contact / lead form</w:t>
            </w:r>
          </w:p>
        </w:tc>
        <w:tc>
          <w:tcPr>
            <w:tcW w:type="dxa" w:w="5400"/>
            <w:shd w:fill="F4F9FD" w:val="clear"/>
          </w:tcPr>
          <w:p>
            <w:r>
              <w:rPr>
                <w:b w:val="false"/>
                <w:bCs w:val="false"/>
              </w:rPr>
              <w:t xml:space="preserve">Correct POST target, headers, and payload shape; success message renders after submit</w:t>
            </w:r>
          </w:p>
        </w:tc>
        <w:tc>
          <w:tcPr>
            <w:tcW w:type="dxa" w:w="1400"/>
            <w:shd w:fill="F4F9FD" w:val="clear"/>
          </w:tcPr>
          <w:p>
            <w:r>
              <w:rPr>
                <w:b w:val="false"/>
                <w:bCs w:val="false"/>
              </w:rPr>
              <w:t xml:space="preserve">Pass</w:t>
            </w:r>
          </w:p>
        </w:tc>
      </w:tr>
      <w:tr>
        <w:tc>
          <w:tcPr>
            <w:tcW w:type="dxa" w:w="2400"/>
          </w:tcPr>
          <w:p>
            <w:r>
              <w:rPr>
                <w:b w:val="false"/>
                <w:bCs w:val="false"/>
              </w:rPr>
              <w:t xml:space="preserve">Owner portal login</w:t>
            </w:r>
          </w:p>
        </w:tc>
        <w:tc>
          <w:tcPr>
            <w:tcW w:type="dxa" w:w="5400"/>
          </w:tcPr>
          <w:p>
            <w:r>
              <w:rPr>
                <w:b w:val="false"/>
                <w:bCs w:val="false"/>
              </w:rPr>
              <w:t xml:space="preserve">Live Supabase client initializes and completes its session check; tab switching; tier picker; field types</w:t>
            </w:r>
          </w:p>
        </w:tc>
        <w:tc>
          <w:tcPr>
            <w:tcW w:type="dxa" w:w="1400"/>
          </w:tcPr>
          <w:p>
            <w:r>
              <w:rPr>
                <w:b w:val="false"/>
                <w:bCs w:val="false"/>
              </w:rPr>
              <w:t xml:space="preserve">Pass</w:t>
            </w:r>
          </w:p>
        </w:tc>
      </w:tr>
      <w:tr>
        <w:tc>
          <w:tcPr>
            <w:tcW w:type="dxa" w:w="2400"/>
            <w:shd w:fill="F4F9FD" w:val="clear"/>
          </w:tcPr>
          <w:p>
            <w:r>
              <w:rPr>
                <w:b w:val="false"/>
                <w:bCs w:val="false"/>
              </w:rPr>
              <w:t xml:space="preserve">Role-based access control</w:t>
            </w:r>
          </w:p>
        </w:tc>
        <w:tc>
          <w:tcPr>
            <w:tcW w:type="dxa" w:w="5400"/>
            <w:shd w:fill="F4F9FD" w:val="clear"/>
          </w:tcPr>
          <w:p>
            <w:r>
              <w:rPr>
                <w:b w:val="false"/>
                <w:bCs w:val="false"/>
              </w:rPr>
              <w:t xml:space="preserve">Every role — Property Owner, Admin/Super Admin, Property Manager, Property Executive — lands on its own dashboard after login, never on another role's screen and never with a customer row silently created for a staff account; a mismatched direct dashboard URL is bounced to the visitor's own correct dashboard; each of the three new staff dashboards renders its full navigation with no console errors</w:t>
            </w:r>
          </w:p>
        </w:tc>
        <w:tc>
          <w:tcPr>
            <w:tcW w:type="dxa" w:w="1400"/>
            <w:shd w:fill="F4F9FD" w:val="clear"/>
          </w:tcPr>
          <w:p>
            <w:r>
              <w:rPr>
                <w:b w:val="false"/>
                <w:bCs w:val="false"/>
              </w:rPr>
              <w:t xml:space="preserve">Pass</w:t>
            </w:r>
          </w:p>
        </w:tc>
      </w:tr>
      <w:tr>
        <w:tc>
          <w:tcPr>
            <w:tcW w:type="dxa" w:w="2400"/>
          </w:tcPr>
          <w:p>
            <w:r>
              <w:rPr>
                <w:b w:val="false"/>
                <w:bCs w:val="false"/>
              </w:rPr>
              <w:t xml:space="preserve">Reassignment &amp; context (Section 3.4)</w:t>
            </w:r>
          </w:p>
        </w:tc>
        <w:tc>
          <w:tcPr>
            <w:tcW w:type="dxa" w:w="5400"/>
          </w:tcPr>
          <w:p>
            <w:r>
              <w:rPr>
                <w:b w:val="false"/>
                <w:bCs w:val="false"/>
              </w:rPr>
              <w:t xml:space="preserve">Admin's Properties list shows a Reassign button (not just Assign) once a property already has a Manager, and the reassign modal shows the owner's name, property name, next scheduled visit, and the currently-assigned Manager pre-selected; the Property Manager's existing visit-reassign modal shows the same owner/property/schedule/current-Executive context</w:t>
            </w:r>
          </w:p>
        </w:tc>
        <w:tc>
          <w:tcPr>
            <w:tcW w:type="dxa" w:w="1400"/>
          </w:tcPr>
          <w:p>
            <w:r>
              <w:rPr>
                <w:b w:val="false"/>
                <w:bCs w:val="false"/>
              </w:rPr>
              <w:t xml:space="preserve">Pass</w:t>
            </w:r>
          </w:p>
        </w:tc>
      </w:tr>
      <w:tr>
        <w:tc>
          <w:tcPr>
            <w:tcW w:type="dxa" w:w="2400"/>
            <w:shd w:fill="F4F9FD" w:val="clear"/>
          </w:tcPr>
          <w:p>
            <w:r>
              <w:rPr>
                <w:b w:val="false"/>
                <w:bCs w:val="false"/>
              </w:rPr>
              <w:t xml:space="preserve">Ticket-reply visibility &amp; Visit Detail (Section 3.4)</w:t>
            </w:r>
          </w:p>
        </w:tc>
        <w:tc>
          <w:tcPr>
            <w:tcW w:type="dxa" w:w="5400"/>
            <w:shd w:fill="F4F9FD" w:val="clear"/>
          </w:tcPr>
          <w:p>
            <w:r>
              <w:rPr>
                <w:b w:val="false"/>
                <w:bCs w:val="false"/>
              </w:rPr>
              <w:t xml:space="preserve">A Property Owner sees a "Response Received" badge on any support ticket with an unread reply; clicking a Site Visit opens a Visit Detail view showing that visit's property info, inspection checklist, notes, manager remarks, and approved photos/videos</w:t>
            </w:r>
          </w:p>
        </w:tc>
        <w:tc>
          <w:tcPr>
            <w:tcW w:type="dxa" w:w="1400"/>
            <w:shd w:fill="F4F9FD" w:val="clear"/>
          </w:tcPr>
          <w:p>
            <w:r>
              <w:rPr>
                <w:b w:val="false"/>
                <w:bCs w:val="false"/>
              </w:rPr>
              <w:t xml:space="preserve">Pass</w:t>
            </w:r>
          </w:p>
        </w:tc>
      </w:tr>
      <w:tr>
        <w:tc>
          <w:tcPr>
            <w:tcW w:type="dxa" w:w="2400"/>
          </w:tcPr>
          <w:p>
            <w:r>
              <w:rPr>
                <w:b w:val="false"/>
                <w:bCs w:val="false"/>
              </w:rPr>
              <w:t xml:space="preserve">My Property screen (Section 3.5)</w:t>
            </w:r>
          </w:p>
        </w:tc>
        <w:tc>
          <w:tcPr>
            <w:tcW w:type="dxa" w:w="5400"/>
          </w:tcPr>
          <w:p>
            <w:r>
              <w:rPr>
                <w:b w:val="false"/>
                <w:bCs w:val="false"/>
              </w:rPr>
              <w:t xml:space="preserve">Property list renders; clicking a property opens its detail view with status timeline, the latest inspection checklist/notes, report history, and approved photos/videos — matching the mobile app's property detail screen</w:t>
            </w:r>
          </w:p>
        </w:tc>
        <w:tc>
          <w:tcPr>
            <w:tcW w:type="dxa" w:w="1400"/>
          </w:tcPr>
          <w:p>
            <w:r>
              <w:rPr>
                <w:b w:val="false"/>
                <w:bCs w:val="false"/>
              </w:rPr>
              <w:t xml:space="preserve">Pass</w:t>
            </w:r>
          </w:p>
        </w:tc>
      </w:tr>
      <w:tr>
        <w:tc>
          <w:tcPr>
            <w:tcW w:type="dxa" w:w="2400"/>
            <w:shd w:fill="F4F9FD" w:val="clear"/>
          </w:tcPr>
          <w:p>
            <w:r>
              <w:rPr>
                <w:b w:val="false"/>
                <w:bCs w:val="false"/>
              </w:rPr>
              <w:t xml:space="preserve">Media timestamps &amp; thumbnails (Section 3.6)</w:t>
            </w:r>
          </w:p>
        </w:tc>
        <w:tc>
          <w:tcPr>
            <w:tcW w:type="dxa" w:w="5400"/>
            <w:shd w:fill="F4F9FD" w:val="clear"/>
          </w:tcPr>
          <w:p>
            <w:r>
              <w:rPr>
                <w:b w:val="false"/>
                <w:bCs w:val="false"/>
              </w:rPr>
              <w:t xml:space="preserve">Opening a photo or video full-size (the lightbox) shows its captured-at timestamp and GPS, not just the small grid thumbnail; "My Property" cards show a registration-photo thumbnail; a photo with GPS latitude but no longitude no longer crashes the media tile</w:t>
            </w:r>
          </w:p>
        </w:tc>
        <w:tc>
          <w:tcPr>
            <w:tcW w:type="dxa" w:w="1400"/>
            <w:shd w:fill="F4F9FD" w:val="clear"/>
          </w:tcPr>
          <w:p>
            <w:r>
              <w:rPr>
                <w:b w:val="false"/>
                <w:bCs w:val="false"/>
              </w:rPr>
              <w:t xml:space="preserve">Pass</w:t>
            </w:r>
          </w:p>
        </w:tc>
      </w:tr>
      <w:tr>
        <w:tc>
          <w:tcPr>
            <w:tcW w:type="dxa" w:w="2400"/>
          </w:tcPr>
          <w:p>
            <w:r>
              <w:rPr>
                <w:b w:val="false"/>
                <w:bCs w:val="false"/>
              </w:rPr>
              <w:t xml:space="preserve">Admin Customer 360 &amp; financial statement (Section 3.6)</w:t>
            </w:r>
          </w:p>
        </w:tc>
        <w:tc>
          <w:tcPr>
            <w:tcW w:type="dxa" w:w="5400"/>
          </w:tcPr>
          <w:p>
            <w:r>
              <w:rPr>
                <w:b w:val="false"/>
                <w:bCs w:val="false"/>
              </w:rPr>
              <w:t xml:space="preserve">Customers list shows property count, Regular/Prime plan, total paid, and any amount due per customer; "View Statement" opens a detail screen with every property's assigned Manager and latest-visit Executive, plus a full financial statement (every invoice, totals for invoiced/paid/due)</w:t>
            </w:r>
          </w:p>
        </w:tc>
        <w:tc>
          <w:tcPr>
            <w:tcW w:type="dxa" w:w="1400"/>
          </w:tcPr>
          <w:p>
            <w:r>
              <w:rPr>
                <w:b w:val="false"/>
                <w:bCs w:val="false"/>
              </w:rPr>
              <w:t xml:space="preserve">Pass</w:t>
            </w:r>
          </w:p>
        </w:tc>
      </w:tr>
      <w:tr>
        <w:tc>
          <w:tcPr>
            <w:tcW w:type="dxa" w:w="2400"/>
            <w:shd w:fill="F4F9FD" w:val="clear"/>
          </w:tcPr>
          <w:p>
            <w:r>
              <w:rPr>
                <w:b w:val="false"/>
                <w:bCs w:val="false"/>
              </w:rPr>
              <w:t xml:space="preserve">Mandatory GPS on uploads (Section 3.7; on-screen display later removed, Section 3.10)</w:t>
            </w:r>
          </w:p>
        </w:tc>
        <w:tc>
          <w:tcPr>
            <w:tcW w:type="dxa" w:w="5400"/>
            <w:shd w:fill="F4F9FD" w:val="clear"/>
          </w:tcPr>
          <w:p>
            <w:r>
              <w:rPr>
                <w:b w:val="false"/>
                <w:bCs w:val="false"/>
              </w:rPr>
              <w:t xml:space="preserve">A Property Executive's photo/video upload is rejected before it reaches Storage when the browser can't get a GPS fix; captured_at/gps_lat/gps_lng are still recorded on every media row for the audit trail even though (per Section 3.10) none of it is drawn on the media on-screen any more</w:t>
            </w:r>
          </w:p>
        </w:tc>
        <w:tc>
          <w:tcPr>
            <w:tcW w:type="dxa" w:w="1400"/>
            <w:shd w:fill="F4F9FD" w:val="clear"/>
          </w:tcPr>
          <w:p>
            <w:r>
              <w:rPr>
                <w:b w:val="false"/>
                <w:bCs w:val="false"/>
              </w:rPr>
              <w:t xml:space="preserve">Pass</w:t>
            </w:r>
          </w:p>
        </w:tc>
      </w:tr>
      <w:tr>
        <w:tc>
          <w:tcPr>
            <w:tcW w:type="dxa" w:w="2400"/>
          </w:tcPr>
          <w:p>
            <w:r>
              <w:rPr>
                <w:b w:val="false"/>
                <w:bCs w:val="false"/>
              </w:rPr>
              <w:t xml:space="preserve">Auto-refresh (Section 3.7)</w:t>
            </w:r>
          </w:p>
        </w:tc>
        <w:tc>
          <w:tcPr>
            <w:tcW w:type="dxa" w:w="5400"/>
          </w:tcPr>
          <w:p>
            <w:r>
              <w:rPr>
                <w:b w:val="false"/>
                <w:bCs w:val="false"/>
              </w:rPr>
              <w:t xml:space="preserve">Every dashboard (Owner, Admin, Property Manager, Property Executive) silently reloads its current view on a 30-second timer, verified with Playwright's fake-clock API, without needing a manual page reload</w:t>
            </w:r>
          </w:p>
        </w:tc>
        <w:tc>
          <w:tcPr>
            <w:tcW w:type="dxa" w:w="1400"/>
          </w:tcPr>
          <w:p>
            <w:r>
              <w:rPr>
                <w:b w:val="false"/>
                <w:bCs w:val="false"/>
              </w:rPr>
              <w:t xml:space="preserve">Pass</w:t>
            </w:r>
          </w:p>
        </w:tc>
      </w:tr>
      <w:tr>
        <w:tc>
          <w:tcPr>
            <w:tcW w:type="dxa" w:w="2400"/>
            <w:shd w:fill="F4F9FD" w:val="clear"/>
          </w:tcPr>
          <w:p>
            <w:r>
              <w:rPr>
                <w:b w:val="false"/>
                <w:bCs w:val="false"/>
              </w:rPr>
              <w:t xml:space="preserve">Nav bar alignment &amp; mobile drawer (Section 3.8)</w:t>
            </w:r>
          </w:p>
        </w:tc>
        <w:tc>
          <w:tcPr>
            <w:tcW w:type="dxa" w:w="5400"/>
            <w:shd w:fill="F4F9FD" w:val="clear"/>
          </w:tcPr>
          <w:p>
            <w:r>
              <w:rPr>
                <w:b w:val="false"/>
                <w:bCs w:val="false"/>
              </w:rPr>
              <w:t xml:space="preserve">Every desktop nav link shares one vertical baseline at a representative squeezed width (no wrapping/misalignment); the mobile menu drawer's top edge exactly matches the measured header height at a mobile viewport (no overlap)</w:t>
            </w:r>
          </w:p>
        </w:tc>
        <w:tc>
          <w:tcPr>
            <w:tcW w:type="dxa" w:w="1400"/>
            <w:shd w:fill="F4F9FD" w:val="clear"/>
          </w:tcPr>
          <w:p>
            <w:r>
              <w:rPr>
                <w:b w:val="false"/>
                <w:bCs w:val="false"/>
              </w:rPr>
              <w:t xml:space="preserve">Pass</w:t>
            </w:r>
          </w:p>
        </w:tc>
      </w:tr>
      <w:tr>
        <w:tc>
          <w:tcPr>
            <w:tcW w:type="dxa" w:w="2400"/>
          </w:tcPr>
          <w:p>
            <w:r>
              <w:rPr>
                <w:b w:val="false"/>
                <w:bCs w:val="false"/>
              </w:rPr>
              <w:t xml:space="preserve">Lightbox fixed size &amp; maximize (Section 3.8)</w:t>
            </w:r>
          </w:p>
        </w:tc>
        <w:tc>
          <w:tcPr>
            <w:tcW w:type="dxa" w:w="5400"/>
          </w:tcPr>
          <w:p>
            <w:r>
              <w:rPr>
                <w:b w:val="false"/>
                <w:bCs w:val="false"/>
              </w:rPr>
              <w:t xml:space="preserve">Opening a photo or video in any dashboard's lightbox produces no internal scroll at any content size; a maximize control is present, visibly enlarges the view (fullscreen or CSS fallback), and resets cleanly when the lightbox is closed</w:t>
            </w:r>
          </w:p>
        </w:tc>
        <w:tc>
          <w:tcPr>
            <w:tcW w:type="dxa" w:w="1400"/>
          </w:tcPr>
          <w:p>
            <w:r>
              <w:rPr>
                <w:b w:val="false"/>
                <w:bCs w:val="false"/>
              </w:rPr>
              <w:t xml:space="preserve">Pass</w:t>
            </w:r>
          </w:p>
        </w:tc>
      </w:tr>
      <w:tr>
        <w:tc>
          <w:tcPr>
            <w:tcW w:type="dxa" w:w="2400"/>
            <w:shd w:fill="F4F9FD" w:val="clear"/>
          </w:tcPr>
          <w:p>
            <w:r>
              <w:rPr>
                <w:b w:val="false"/>
                <w:bCs w:val="false"/>
              </w:rPr>
              <w:t xml:space="preserve">Dynamic pricing (Section 3.9)</w:t>
            </w:r>
          </w:p>
        </w:tc>
        <w:tc>
          <w:tcPr>
            <w:tcW w:type="dxa" w:w="5400"/>
            <w:shd w:fill="F4F9FD" w:val="clear"/>
          </w:tcPr>
          <w:p>
            <w:r>
              <w:rPr>
                <w:b w:val="false"/>
                <w:bCs w:val="false"/>
              </w:rPr>
              <w:t xml:space="preserve">The pricing calculator returns the confirmed tiers at 1, 2, 3, and 8 properties across Regular and Prime, including the more-than-2-properties bulk rate kicking in only above the threshold; the Property Owner's Profile tab shows a live estimated cost computed from actual property count</w:t>
            </w:r>
          </w:p>
        </w:tc>
        <w:tc>
          <w:tcPr>
            <w:tcW w:type="dxa" w:w="1400"/>
            <w:shd w:fill="F4F9FD" w:val="clear"/>
          </w:tcPr>
          <w:p>
            <w:r>
              <w:rPr>
                <w:b w:val="false"/>
                <w:bCs w:val="false"/>
              </w:rPr>
              <w:t xml:space="preserve">Pass</w:t>
            </w:r>
          </w:p>
        </w:tc>
      </w:tr>
      <w:tr>
        <w:tc>
          <w:tcPr>
            <w:tcW w:type="dxa" w:w="2400"/>
          </w:tcPr>
          <w:p>
            <w:r>
              <w:rPr>
                <w:b w:val="false"/>
                <w:bCs w:val="false"/>
              </w:rPr>
              <w:t xml:space="preserve">Documents &amp; Invoices redesign + UPI Pay Now (Section 3.9)</w:t>
            </w:r>
          </w:p>
        </w:tc>
        <w:tc>
          <w:tcPr>
            <w:tcW w:type="dxa" w:w="5400"/>
          </w:tcPr>
          <w:p>
            <w:r>
              <w:rPr>
                <w:b w:val="false"/>
                <w:bCs w:val="false"/>
              </w:rPr>
              <w:t xml:space="preserve">The Documents/Invoices tab switcher works; document and invoice cards render with the correct fields; Pay Now appears only on a due/overdue invoice; the previously-missing status-pill colors now render; a desktop visitor gets a UPI-ID fallback message instead of a dead click; the public pricing page reflects the new figures with no trace of the old flat rate</w:t>
            </w:r>
          </w:p>
        </w:tc>
        <w:tc>
          <w:tcPr>
            <w:tcW w:type="dxa" w:w="1400"/>
          </w:tcPr>
          <w:p>
            <w:r>
              <w:rPr>
                <w:b w:val="false"/>
                <w:bCs w:val="false"/>
              </w:rPr>
              <w:t xml:space="preserve">Pass</w:t>
            </w:r>
          </w:p>
        </w:tc>
      </w:tr>
      <w:tr>
        <w:tc>
          <w:tcPr>
            <w:tcW w:type="dxa" w:w="2400"/>
            <w:shd w:fill="F4F9FD" w:val="clear"/>
          </w:tcPr>
          <w:p>
            <w:r>
              <w:rPr>
                <w:b w:val="false"/>
                <w:bCs w:val="false"/>
              </w:rPr>
              <w:t xml:space="preserve">No on-screen media timestamp/GPS overlay (Section 3.10)</w:t>
            </w:r>
          </w:p>
        </w:tc>
        <w:tc>
          <w:tcPr>
            <w:tcW w:type="dxa" w:w="5400"/>
            <w:shd w:fill="F4F9FD" w:val="clear"/>
          </w:tcPr>
          <w:p>
            <w:r>
              <w:rPr>
                <w:b w:val="false"/>
                <w:bCs w:val="false"/>
              </w:rPr>
              <w:t xml:space="preserve">The Property Owner's My Property lightbox, the Property Manager's Pending Approvals tile and lightbox, and the Property Executive's Captured Media grid and lightbox show no timestamp/GPS text and contain no .geo-stamp element, on a fixture whose media does carry that metadata</w:t>
            </w:r>
          </w:p>
        </w:tc>
        <w:tc>
          <w:tcPr>
            <w:tcW w:type="dxa" w:w="1400"/>
            <w:shd w:fill="F4F9FD" w:val="clear"/>
          </w:tcPr>
          <w:p>
            <w:r>
              <w:rPr>
                <w:b w:val="false"/>
                <w:bCs w:val="false"/>
              </w:rPr>
              <w:t xml:space="preserve">Pass</w:t>
            </w:r>
          </w:p>
        </w:tc>
      </w:tr>
      <w:tr>
        <w:tc>
          <w:tcPr>
            <w:tcW w:type="dxa" w:w="2400"/>
          </w:tcPr>
          <w:p>
            <w:r>
              <w:rPr>
                <w:b w:val="false"/>
                <w:bCs w:val="false"/>
              </w:rPr>
              <w:t xml:space="preserve">Property thumbnail caching (Section 3.11)</w:t>
            </w:r>
          </w:p>
        </w:tc>
        <w:tc>
          <w:tcPr>
            <w:tcW w:type="dxa" w:w="5400"/>
          </w:tcPr>
          <w:p>
            <w:r>
              <w:rPr>
                <w:b w:val="false"/>
                <w:bCs w:val="false"/>
              </w:rPr>
              <w:t xml:space="preserve">A fixture that counts its own Supabase Storage signing calls shows exactly one call across both a real dashboard boot and a fast-forwarded 30-second auto-refresh tick, with the thumbnail still rendering correctly both times — confirming the repeated-download bug is actually fixed, not just visually unchanged</w:t>
            </w:r>
          </w:p>
        </w:tc>
        <w:tc>
          <w:tcPr>
            <w:tcW w:type="dxa" w:w="1400"/>
          </w:tcPr>
          <w:p>
            <w:r>
              <w:rPr>
                <w:b w:val="false"/>
                <w:bCs w:val="false"/>
              </w:rPr>
              <w:t xml:space="preserve">Pass</w:t>
            </w:r>
          </w:p>
        </w:tc>
      </w:tr>
      <w:tr>
        <w:tc>
          <w:tcPr>
            <w:tcW w:type="dxa" w:w="2400"/>
            <w:shd w:fill="F4F9FD" w:val="clear"/>
          </w:tcPr>
          <w:p>
            <w:r>
              <w:rPr>
                <w:b w:val="false"/>
                <w:bCs w:val="false"/>
              </w:rPr>
              <w:t xml:space="preserve">robots.txt / sitemap.xml</w:t>
            </w:r>
          </w:p>
        </w:tc>
        <w:tc>
          <w:tcPr>
            <w:tcW w:type="dxa" w:w="5400"/>
            <w:shd w:fill="F4F9FD" w:val="clear"/>
          </w:tcPr>
          <w:p>
            <w:r>
              <w:rPr>
                <w:b w:val="false"/>
                <w:bCs w:val="false"/>
              </w:rPr>
              <w:t xml:space="preserve">Correct disallow rule for the dashboard; sitemap lists every marketing page</w:t>
            </w:r>
          </w:p>
        </w:tc>
        <w:tc>
          <w:tcPr>
            <w:tcW w:type="dxa" w:w="1400"/>
            <w:shd w:fill="F4F9FD" w:val="clear"/>
          </w:tcPr>
          <w:p>
            <w:r>
              <w:rPr>
                <w:b w:val="false"/>
                <w:bCs w:val="false"/>
              </w:rPr>
              <w:t xml:space="preserve">Pass</w:t>
            </w:r>
          </w:p>
        </w:tc>
      </w:tr>
      <w:tr>
        <w:tc>
          <w:tcPr>
            <w:tcW w:type="dxa" w:w="2400"/>
          </w:tcPr>
          <w:p>
            <w:r>
              <w:rPr>
                <w:b w:val="false"/>
                <w:bCs w:val="false"/>
              </w:rPr>
              <w:t xml:space="preserve">Internal link crawl</w:t>
            </w:r>
          </w:p>
        </w:tc>
        <w:tc>
          <w:tcPr>
            <w:tcW w:type="dxa" w:w="5400"/>
          </w:tcPr>
          <w:p>
            <w:r>
              <w:rPr>
                <w:b w:val="false"/>
                <w:bCs w:val="false"/>
              </w:rPr>
              <w:t xml:space="preserve">Every same-origin link reachable from the 9 marketing pages returns a non-error status</w:t>
            </w:r>
          </w:p>
        </w:tc>
        <w:tc>
          <w:tcPr>
            <w:tcW w:type="dxa" w:w="1400"/>
          </w:tcPr>
          <w:p>
            <w:r>
              <w:rPr>
                <w:b w:val="false"/>
                <w:bCs w:val="false"/>
              </w:rPr>
              <w:t xml:space="preserve">Pass</w:t>
            </w:r>
          </w:p>
        </w:tc>
      </w:tr>
      <w:tr>
        <w:tc>
          <w:tcPr>
            <w:tcW w:type="dxa" w:w="2400"/>
            <w:shd w:fill="F4F9FD" w:val="clear"/>
          </w:tcPr>
          <w:p>
            <w:r>
              <w:rPr>
                <w:b w:val="false"/>
                <w:bCs w:val="false"/>
              </w:rPr>
              <w:t xml:space="preserve">Responsive layout</w:t>
            </w:r>
          </w:p>
        </w:tc>
        <w:tc>
          <w:tcPr>
            <w:tcW w:type="dxa" w:w="5400"/>
            <w:shd w:fill="F4F9FD" w:val="clear"/>
          </w:tcPr>
          <w:p>
            <w:r>
              <w:rPr>
                <w:b w:val="false"/>
                <w:bCs w:val="false"/>
              </w:rPr>
              <w:t xml:space="preserve">No horizontal scroll/overflow at a 375px mobile viewport on any marketing page</w:t>
            </w:r>
          </w:p>
        </w:tc>
        <w:tc>
          <w:tcPr>
            <w:tcW w:type="dxa" w:w="1400"/>
            <w:shd w:fill="F4F9FD" w:val="clear"/>
          </w:tcPr>
          <w:p>
            <w:r>
              <w:rPr>
                <w:b w:val="false"/>
                <w:bCs w:val="false"/>
              </w:rPr>
              <w:t xml:space="preserve">Pass</w:t>
            </w:r>
          </w:p>
        </w:tc>
      </w:tr>
    </w:tbl>
    <w:p>
      <w:pPr>
        <w:spacing w:after="160"/>
      </w:pPr>
    </w:p>
    <w:p>
      <w:pPr>
        <w:pStyle w:val="Heading2"/>
        <w:spacing w:after="120" w:before="260"/>
      </w:pPr>
      <w:r>
        <w:t xml:space="preserve">3.1 Defects found and fixed during this test pass</w:t>
      </w:r>
    </w:p>
    <w:p>
      <w:pPr>
        <w:spacing w:after="140"/>
      </w:pPr>
      <w:r>
        <w:t xml:space="preserve">These are genuine bugs the automated tests surfaced — each one confirmed with tool output before being fixed, then re-verified with a fresh test run.</w:t>
      </w:r>
    </w:p>
    <w:tbl>
      <w:tblPr>
        <w:tblW w:type="dxa" w:w="8600"/>
        <w:tblBorders>
          <w:top w:val="single" w:color="auto" w:sz="4"/>
          <w:left w:val="single" w:color="auto" w:sz="4"/>
          <w:bottom w:val="single" w:color="auto" w:sz="4"/>
          <w:right w:val="single" w:color="auto" w:sz="4"/>
          <w:insideH w:val="single" w:color="auto" w:sz="4"/>
          <w:insideV w:val="single" w:color="auto" w:sz="4"/>
        </w:tblBorders>
      </w:tblPr>
      <w:tblGrid>
        <w:gridCol w:w="500"/>
        <w:gridCol w:w="2400"/>
        <w:gridCol w:w="3200"/>
        <w:gridCol w:w="2500"/>
      </w:tblGrid>
      <w:tr>
        <w:trPr>
          <w:tblHeader/>
        </w:trPr>
        <w:tc>
          <w:tcPr>
            <w:tcW w:type="dxa" w:w="500"/>
            <w:shd w:fill="0B3357" w:val="clear"/>
          </w:tcPr>
          <w:p>
            <w:r>
              <w:rPr>
                <w:b/>
                <w:bCs/>
                <w:color w:val="FFFFFF"/>
              </w:rPr>
              <w:t xml:space="preserve">#</w:t>
            </w:r>
          </w:p>
        </w:tc>
        <w:tc>
          <w:tcPr>
            <w:tcW w:type="dxa" w:w="2400"/>
            <w:shd w:fill="0B3357" w:val="clear"/>
          </w:tcPr>
          <w:p>
            <w:r>
              <w:rPr>
                <w:b/>
                <w:bCs/>
                <w:color w:val="FFFFFF"/>
              </w:rPr>
              <w:t xml:space="preserve">Defect</w:t>
            </w:r>
          </w:p>
        </w:tc>
        <w:tc>
          <w:tcPr>
            <w:tcW w:type="dxa" w:w="3200"/>
            <w:shd w:fill="0B3357" w:val="clear"/>
          </w:tcPr>
          <w:p>
            <w:r>
              <w:rPr>
                <w:b/>
                <w:bCs/>
                <w:color w:val="FFFFFF"/>
              </w:rPr>
              <w:t xml:space="preserve">Impact</w:t>
            </w:r>
          </w:p>
        </w:tc>
        <w:tc>
          <w:tcPr>
            <w:tcW w:type="dxa" w:w="2500"/>
            <w:shd w:fill="0B3357" w:val="clear"/>
          </w:tcPr>
          <w:p>
            <w:r>
              <w:rPr>
                <w:b/>
                <w:bCs/>
                <w:color w:val="FFFFFF"/>
              </w:rPr>
              <w:t xml:space="preserve">Fix</w:t>
            </w:r>
          </w:p>
        </w:tc>
      </w:tr>
      <w:tr>
        <w:tc>
          <w:tcPr>
            <w:tcW w:type="dxa" w:w="500"/>
          </w:tcPr>
          <w:p>
            <w:r>
              <w:rPr>
                <w:b w:val="false"/>
                <w:bCs w:val="false"/>
              </w:rPr>
              <w:t xml:space="preserve">1</w:t>
            </w:r>
          </w:p>
        </w:tc>
        <w:tc>
          <w:tcPr>
            <w:tcW w:type="dxa" w:w="2400"/>
          </w:tcPr>
          <w:p>
            <w:r>
              <w:rPr>
                <w:b w:val="false"/>
                <w:bCs w:val="false"/>
              </w:rPr>
              <w:t xml:space="preserve">Contact form's confirmation &lt;div&gt; was a sibling of the &lt;form&gt;, not a child</w:t>
            </w:r>
          </w:p>
        </w:tc>
        <w:tc>
          <w:tcPr>
            <w:tcW w:type="dxa" w:w="3200"/>
          </w:tcPr>
          <w:p>
            <w:r>
              <w:rPr>
                <w:b w:val="false"/>
                <w:bCs w:val="false"/>
              </w:rPr>
              <w:t xml:space="preserve">form.querySelector('.form-alert') always returned null — every real visitor who submitted the contact form saw no success or error message at all, with no visible indication the message was received</w:t>
            </w:r>
          </w:p>
        </w:tc>
        <w:tc>
          <w:tcPr>
            <w:tcW w:type="dxa" w:w="2500"/>
          </w:tcPr>
          <w:p>
            <w:r>
              <w:rPr>
                <w:b w:val="false"/>
                <w:bCs w:val="false"/>
              </w:rPr>
              <w:t xml:space="preserve">Moved the alert element inside the &lt;form&gt;</w:t>
            </w:r>
          </w:p>
        </w:tc>
      </w:tr>
      <w:tr>
        <w:tc>
          <w:tcPr>
            <w:tcW w:type="dxa" w:w="500"/>
            <w:shd w:fill="F4F9FD" w:val="clear"/>
          </w:tcPr>
          <w:p>
            <w:r>
              <w:rPr>
                <w:b w:val="false"/>
                <w:bCs w:val="false"/>
              </w:rPr>
              <w:t xml:space="preserve">2</w:t>
            </w:r>
          </w:p>
        </w:tc>
        <w:tc>
          <w:tcPr>
            <w:tcW w:type="dxa" w:w="2400"/>
            <w:shd w:fill="F4F9FD" w:val="clear"/>
          </w:tcPr>
          <w:p>
            <w:r>
              <w:rPr>
                <w:b w:val="false"/>
                <w:bCs w:val="false"/>
              </w:rPr>
              <w:t xml:space="preserve">FAQPage JSON-LD was built with Python's %r (repr), producing single-quoted strings</w:t>
            </w:r>
          </w:p>
        </w:tc>
        <w:tc>
          <w:tcPr>
            <w:tcW w:type="dxa" w:w="3200"/>
            <w:shd w:fill="F4F9FD" w:val="clear"/>
          </w:tcPr>
          <w:p>
            <w:r>
              <w:rPr>
                <w:b w:val="false"/>
                <w:bCs w:val="false"/>
              </w:rPr>
              <w:t xml:space="preserve">Invalid JSON — any parser, including Google's structured-data validator, fails to read it, so the FAQ page could never qualify for rich-result snippets despite the markup being present</w:t>
            </w:r>
          </w:p>
        </w:tc>
        <w:tc>
          <w:tcPr>
            <w:tcW w:type="dxa" w:w="2500"/>
            <w:shd w:fill="F4F9FD" w:val="clear"/>
          </w:tcPr>
          <w:p>
            <w:r>
              <w:rPr>
                <w:b w:val="false"/>
                <w:bCs w:val="false"/>
              </w:rPr>
              <w:t xml:space="preserve">Rebuilt with json.dumps() for correct, valid JSON</w:t>
            </w:r>
          </w:p>
        </w:tc>
      </w:tr>
      <w:tr>
        <w:tc>
          <w:tcPr>
            <w:tcW w:type="dxa" w:w="500"/>
          </w:tcPr>
          <w:p>
            <w:r>
              <w:rPr>
                <w:b w:val="false"/>
                <w:bCs w:val="false"/>
              </w:rPr>
              <w:t xml:space="preserve">3</w:t>
            </w:r>
          </w:p>
        </w:tc>
        <w:tc>
          <w:tcPr>
            <w:tcW w:type="dxa" w:w="2400"/>
          </w:tcPr>
          <w:p>
            <w:r>
              <w:rPr>
                <w:b w:val="false"/>
                <w:bCs w:val="false"/>
              </w:rPr>
              <w:t xml:space="preserve">Off-canvas mobile nav used transform: translateX(100%) with no overflow containment</w:t>
            </w:r>
          </w:p>
        </w:tc>
        <w:tc>
          <w:tcPr>
            <w:tcW w:type="dxa" w:w="3200"/>
          </w:tcPr>
          <w:p>
            <w:r>
              <w:rPr>
                <w:b w:val="false"/>
                <w:bCs w:val="false"/>
              </w:rPr>
              <w:t xml:space="preserve">The hidden drawer still expanded the page's scrollable width on mobile, allowing an unintended horizontal scroll/blank area</w:t>
            </w:r>
          </w:p>
        </w:tc>
        <w:tc>
          <w:tcPr>
            <w:tcW w:type="dxa" w:w="2500"/>
          </w:tcPr>
          <w:p>
            <w:r>
              <w:rPr>
                <w:b w:val="false"/>
                <w:bCs w:val="false"/>
              </w:rPr>
              <w:t xml:space="preserve">Added overflow-x: hidden to html and body</w:t>
            </w:r>
          </w:p>
        </w:tc>
      </w:tr>
      <w:tr>
        <w:tc>
          <w:tcPr>
            <w:tcW w:type="dxa" w:w="500"/>
            <w:shd w:fill="F4F9FD" w:val="clear"/>
          </w:tcPr>
          <w:p>
            <w:r>
              <w:rPr>
                <w:b w:val="false"/>
                <w:bCs w:val="false"/>
              </w:rPr>
              <w:t xml:space="preserve">4</w:t>
            </w:r>
          </w:p>
        </w:tc>
        <w:tc>
          <w:tcPr>
            <w:tcW w:type="dxa" w:w="2400"/>
            <w:shd w:fill="F4F9FD" w:val="clear"/>
          </w:tcPr>
          <w:p>
            <w:r>
              <w:rPr>
                <w:b w:val="false"/>
                <w:bCs w:val="false"/>
              </w:rPr>
              <w:t xml:space="preserve">Owner portal login page had no &lt;h1&gt;</w:t>
            </w:r>
          </w:p>
        </w:tc>
        <w:tc>
          <w:tcPr>
            <w:tcW w:type="dxa" w:w="3200"/>
            <w:shd w:fill="F4F9FD" w:val="clear"/>
          </w:tcPr>
          <w:p>
            <w:r>
              <w:rPr>
                <w:b w:val="false"/>
                <w:bCs w:val="false"/>
              </w:rPr>
              <w:t xml:space="preserve">Fails a basic accessibility/structure expectation (a page should have exactly one top-level heading)</w:t>
            </w:r>
          </w:p>
        </w:tc>
        <w:tc>
          <w:tcPr>
            <w:tcW w:type="dxa" w:w="2500"/>
            <w:shd w:fill="F4F9FD" w:val="clear"/>
          </w:tcPr>
          <w:p>
            <w:r>
              <w:rPr>
                <w:b w:val="false"/>
                <w:bCs w:val="false"/>
              </w:rPr>
              <w:t xml:space="preserve">Added a screen-reader-only &lt;h1&gt;</w:t>
            </w:r>
          </w:p>
        </w:tc>
      </w:tr>
      <w:tr>
        <w:tc>
          <w:tcPr>
            <w:tcW w:type="dxa" w:w="500"/>
          </w:tcPr>
          <w:p>
            <w:r>
              <w:rPr>
                <w:b w:val="false"/>
                <w:bCs w:val="false"/>
              </w:rPr>
              <w:t xml:space="preserve">5</w:t>
            </w:r>
          </w:p>
        </w:tc>
        <w:tc>
          <w:tcPr>
            <w:tcW w:type="dxa" w:w="2400"/>
          </w:tcPr>
          <w:p>
            <w:r>
              <w:rPr>
                <w:b w:val="false"/>
                <w:bCs w:val="false"/>
              </w:rPr>
              <w:t xml:space="preserve">About page rendered &lt;li&gt; elements inside a &lt;div&gt; instead of a &lt;ul&gt;</w:t>
            </w:r>
          </w:p>
        </w:tc>
        <w:tc>
          <w:tcPr>
            <w:tcW w:type="dxa" w:w="3200"/>
          </w:tcPr>
          <w:p>
            <w:r>
              <w:rPr>
                <w:b w:val="false"/>
                <w:bCs w:val="false"/>
              </w:rPr>
              <w:t xml:space="preserve">Invalid list markup; flagged by Lighthouse's accessibility audit (listitem)</w:t>
            </w:r>
          </w:p>
        </w:tc>
        <w:tc>
          <w:tcPr>
            <w:tcW w:type="dxa" w:w="2500"/>
          </w:tcPr>
          <w:p>
            <w:r>
              <w:rPr>
                <w:b w:val="false"/>
                <w:bCs w:val="false"/>
              </w:rPr>
              <w:t xml:space="preserve">Changed the container to a &lt;ul&gt;</w:t>
            </w:r>
          </w:p>
        </w:tc>
      </w:tr>
      <w:tr>
        <w:tc>
          <w:tcPr>
            <w:tcW w:type="dxa" w:w="500"/>
            <w:shd w:fill="F4F9FD" w:val="clear"/>
          </w:tcPr>
          <w:p>
            <w:r>
              <w:rPr>
                <w:b w:val="false"/>
                <w:bCs w:val="false"/>
              </w:rPr>
              <w:t xml:space="preserve">6</w:t>
            </w:r>
          </w:p>
        </w:tc>
        <w:tc>
          <w:tcPr>
            <w:tcW w:type="dxa" w:w="2400"/>
            <w:shd w:fill="F4F9FD" w:val="clear"/>
          </w:tcPr>
          <w:p>
            <w:r>
              <w:rPr>
                <w:b w:val="false"/>
                <w:bCs w:val="false"/>
              </w:rPr>
              <w:t xml:space="preserve">Primary buttons, footer/logo-strip text, and several small UI labels had text/background contrast below the 4.5:1 WCAG AA minimum</w:t>
            </w:r>
          </w:p>
        </w:tc>
        <w:tc>
          <w:tcPr>
            <w:tcW w:type="dxa" w:w="3200"/>
            <w:shd w:fill="F4F9FD" w:val="clear"/>
          </w:tcPr>
          <w:p>
            <w:r>
              <w:rPr>
                <w:b w:val="false"/>
                <w:bCs w:val="false"/>
              </w:rPr>
              <w:t xml:space="preserve">Reduced legibility, most notably for low-vision users</w:t>
            </w:r>
          </w:p>
        </w:tc>
        <w:tc>
          <w:tcPr>
            <w:tcW w:type="dxa" w:w="2500"/>
            <w:shd w:fill="F4F9FD" w:val="clear"/>
          </w:tcPr>
          <w:p>
            <w:r>
              <w:rPr>
                <w:b w:val="false"/>
                <w:bCs w:val="false"/>
              </w:rPr>
              <w:t xml:space="preserve">Darkened the affected colors across style.css and portal.css (see Section 4)</w:t>
            </w:r>
          </w:p>
        </w:tc>
      </w:tr>
      <w:tr>
        <w:tc>
          <w:tcPr>
            <w:tcW w:type="dxa" w:w="500"/>
          </w:tcPr>
          <w:p>
            <w:r>
              <w:rPr>
                <w:b w:val="false"/>
                <w:bCs w:val="false"/>
              </w:rPr>
              <w:t xml:space="preserve">7</w:t>
            </w:r>
          </w:p>
        </w:tc>
        <w:tc>
          <w:tcPr>
            <w:tcW w:type="dxa" w:w="2400"/>
          </w:tcPr>
          <w:p>
            <w:r>
              <w:rPr>
                <w:b w:val="false"/>
                <w:bCs w:val="false"/>
              </w:rPr>
              <w:t xml:space="preserve">Heading hierarchy skipped levels in several sections (h2 → h4 directly)</w:t>
            </w:r>
          </w:p>
        </w:tc>
        <w:tc>
          <w:tcPr>
            <w:tcW w:type="dxa" w:w="3200"/>
          </w:tcPr>
          <w:p>
            <w:r>
              <w:rPr>
                <w:b w:val="false"/>
                <w:bCs w:val="false"/>
              </w:rPr>
              <w:t xml:space="preserve">Confuses assistive-technology navigation by heading level</w:t>
            </w:r>
          </w:p>
        </w:tc>
        <w:tc>
          <w:tcPr>
            <w:tcW w:type="dxa" w:w="2500"/>
          </w:tcPr>
          <w:p>
            <w:r>
              <w:rPr>
                <w:b w:val="false"/>
                <w:bCs w:val="false"/>
              </w:rPr>
              <w:t xml:space="preserve">Renamed to h3 and added two screen-reader-only h2 headings to keep the outline sequential</w:t>
            </w:r>
          </w:p>
        </w:tc>
      </w:tr>
      <w:tr>
        <w:tc>
          <w:tcPr>
            <w:tcW w:type="dxa" w:w="500"/>
            <w:shd w:fill="F4F9FD" w:val="clear"/>
          </w:tcPr>
          <w:p>
            <w:r>
              <w:rPr>
                <w:b w:val="false"/>
                <w:bCs w:val="false"/>
              </w:rPr>
              <w:t xml:space="preserve">8</w:t>
            </w:r>
          </w:p>
        </w:tc>
        <w:tc>
          <w:tcPr>
            <w:tcW w:type="dxa" w:w="2400"/>
            <w:shd w:fill="F4F9FD" w:val="clear"/>
          </w:tcPr>
          <w:p>
            <w:r>
              <w:rPr>
                <w:b w:val="false"/>
                <w:bCs w:val="false"/>
              </w:rPr>
              <w:t xml:space="preserve">Duplicate "Owner Login" button visible on desktop (found via screenshot review)</w:t>
            </w:r>
          </w:p>
        </w:tc>
        <w:tc>
          <w:tcPr>
            <w:tcW w:type="dxa" w:w="3200"/>
            <w:shd w:fill="F4F9FD" w:val="clear"/>
          </w:tcPr>
          <w:p>
            <w:r>
              <w:rPr>
                <w:b w:val="false"/>
                <w:bCs w:val="false"/>
              </w:rPr>
              <w:t xml:space="preserve">Confusing, unpolished header on desktop</w:t>
            </w:r>
          </w:p>
        </w:tc>
        <w:tc>
          <w:tcPr>
            <w:tcW w:type="dxa" w:w="2500"/>
            <w:shd w:fill="F4F9FD" w:val="clear"/>
          </w:tcPr>
          <w:p>
            <w:r>
              <w:rPr>
                <w:b w:val="false"/>
                <w:bCs w:val="false"/>
              </w:rPr>
              <w:t xml:space="preserve">Fixed the .only-mobile CSS rule that was never actually being applied</w:t>
            </w:r>
          </w:p>
        </w:tc>
      </w:tr>
      <w:tr>
        <w:tc>
          <w:tcPr>
            <w:tcW w:type="dxa" w:w="500"/>
          </w:tcPr>
          <w:p>
            <w:r>
              <w:rPr>
                <w:b w:val="false"/>
                <w:bCs w:val="false"/>
              </w:rPr>
              <w:t xml:space="preserve">9</w:t>
            </w:r>
          </w:p>
        </w:tc>
        <w:tc>
          <w:tcPr>
            <w:tcW w:type="dxa" w:w="2400"/>
          </w:tcPr>
          <w:p>
            <w:r>
              <w:rPr>
                <w:b w:val="false"/>
                <w:bCs w:val="false"/>
              </w:rPr>
              <w:t xml:space="preserve">Broken/mismatched icon SVGs and non-matching button colors in the WhatsApp widget (found via screenshot comparison to the reference image)</w:t>
            </w:r>
          </w:p>
        </w:tc>
        <w:tc>
          <w:tcPr>
            <w:tcW w:type="dxa" w:w="3200"/>
          </w:tcPr>
          <w:p>
            <w:r>
              <w:rPr>
                <w:b w:val="false"/>
                <w:bCs w:val="false"/>
              </w:rPr>
              <w:t xml:space="preserve">Widget didn't match the requested design and used an incorrect icon</w:t>
            </w:r>
          </w:p>
        </w:tc>
        <w:tc>
          <w:tcPr>
            <w:tcW w:type="dxa" w:w="2500"/>
          </w:tcPr>
          <w:p>
            <w:r>
              <w:rPr>
                <w:b w:val="false"/>
                <w:bCs w:val="false"/>
              </w:rPr>
              <w:t xml:space="preserve">Replaced with correct WhatsApp/phone icon paths and unified button colors to navy, per the reference screenshot</w:t>
            </w:r>
          </w:p>
        </w:tc>
      </w:tr>
    </w:tbl>
    <w:p>
      <w:pPr>
        <w:spacing w:after="160"/>
      </w:pPr>
    </w:p>
    <w:p>
      <w:pPr>
        <w:spacing w:after="140"/>
      </w:pPr>
      <w:r>
        <w:t xml:space="preserve">Two further defects were fixed earlier in the build (before the formal test pass) and are included for completeness: the site initially depended on a jsDelivr CDN copy of the Supabase JS client, which this sandbox's network blocks — fixed by self-hosting the library, which is also simply more robust for real-world deployment; and the initial active-nav-link matching logic wrongly marked the Owner Login link as the "current page" on the homepage, which also caused a color-contrast failure.</w:t>
      </w:r>
    </w:p>
    <w:p>
      <w:pPr>
        <w:pStyle w:val="Heading2"/>
        <w:spacing w:after="120" w:before="260"/>
      </w:pPr>
      <w:r>
        <w:t xml:space="preserve">3.2 High-priority bug found and fixed after initial delivery: role-based login routing</w:t>
      </w:r>
    </w:p>
    <w:p>
      <w:pPr>
        <w:spacing w:after="140"/>
      </w:pPr>
      <w:r>
        <w:t xml:space="preserve">After the site was first delivered, real-world testing surfaced a high-priority defect: any account that successfully signed in — regardless of its actual role in the users table (Admin, Property Manager, Property Executive, or Super Admin) — was silently treated as a Property Owner. The portal would create a spurious customers row for that staff account if one did not already exist, and then send it straight into the owner dashboard, rather than recognizing that account as staff and responding appropriately.</w:t>
      </w:r>
    </w:p>
    <w:p>
      <w:pPr>
        <w:spacing w:after="140"/>
      </w:pPr>
      <w:r>
        <w:t xml:space="preserve">Root cause: portal/js/auth.js (the login/registration screen) and portal/js/dashboard.js (the dashboard itself) both looked only at whether a Supabase session existed, never at the signed-in user's role column. Both files independently assumed every authenticated session belonged to a customer.</w:t>
      </w:r>
    </w:p>
    <w:p>
      <w:pPr>
        <w:spacing w:after="140"/>
      </w:pPr>
      <w:r>
        <w:t xml:space="preserve">Why this matters: the web portal was scoped and built as a Property Owner (customer) self-service portal only — Admin, Property Manager, and Property Executive workflows live in the mobile app, which already has its own dedicated dashboards for each of those roles (confirmed against the original workflow and gap-analysis document). A staff member signing into the website was therefore hitting a screen that was never built for them, and — worse — was accumulating an incorrect customer record in the database purely as a side effect of logging in.</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600"/>
        <w:gridCol w:w="6700"/>
      </w:tblGrid>
      <w:tr>
        <w:trPr>
          <w:tblHeader/>
        </w:trPr>
        <w:tc>
          <w:tcPr>
            <w:tcW w:type="dxa" w:w="2600"/>
            <w:shd w:fill="0B3357" w:val="clear"/>
          </w:tcPr>
          <w:p>
            <w:r>
              <w:rPr>
                <w:b/>
                <w:bCs/>
                <w:color w:val="FFFFFF"/>
              </w:rPr>
              <w:t xml:space="preserve">Where</w:t>
            </w:r>
          </w:p>
        </w:tc>
        <w:tc>
          <w:tcPr>
            <w:tcW w:type="dxa" w:w="6700"/>
            <w:shd w:fill="0B3357" w:val="clear"/>
          </w:tcPr>
          <w:p>
            <w:r>
              <w:rPr>
                <w:b/>
                <w:bCs/>
                <w:color w:val="FFFFFF"/>
              </w:rPr>
              <w:t xml:space="preserve">Fix applied</w:t>
            </w:r>
          </w:p>
        </w:tc>
      </w:tr>
      <w:tr>
        <w:tc>
          <w:tcPr>
            <w:tcW w:type="dxa" w:w="2600"/>
          </w:tcPr>
          <w:p>
            <w:r>
              <w:rPr>
                <w:b w:val="false"/>
                <w:bCs w:val="false"/>
              </w:rPr>
              <w:t xml:space="preserve">portal/js/auth.js</w:t>
            </w:r>
          </w:p>
        </w:tc>
        <w:tc>
          <w:tcPr>
            <w:tcW w:type="dxa" w:w="6700"/>
          </w:tcPr>
          <w:p>
            <w:r>
              <w:rPr>
                <w:b w:val="false"/>
                <w:bCs w:val="false"/>
              </w:rPr>
              <w:t xml:space="preserve">Added a getUserRole() check immediately after sign-in and on every returning session, before any customer-specific action runs. A non-customer role now sees a clear on-screen message naming their role and directing them to the mobile app, with a "Sign Out &amp; Return to Login" action, instead of being routed anywhere.</w:t>
            </w:r>
          </w:p>
        </w:tc>
      </w:tr>
      <w:tr>
        <w:tc>
          <w:tcPr>
            <w:tcW w:type="dxa" w:w="2600"/>
            <w:shd w:fill="F4F9FD" w:val="clear"/>
          </w:tcPr>
          <w:p>
            <w:r>
              <w:rPr>
                <w:b w:val="false"/>
                <w:bCs w:val="false"/>
              </w:rPr>
              <w:t xml:space="preserve">portal/js/dashboard.js</w:t>
            </w:r>
          </w:p>
        </w:tc>
        <w:tc>
          <w:tcPr>
            <w:tcW w:type="dxa" w:w="6700"/>
            <w:shd w:fill="F4F9FD" w:val="clear"/>
          </w:tcPr>
          <w:p>
            <w:r>
              <w:rPr>
                <w:b w:val="false"/>
                <w:bCs w:val="false"/>
              </w:rPr>
              <w:t xml:space="preserve">Added the same role check as a second, independent safeguard directly in the dashboard's own startup logic, so a non-customer account can never reach dashboard.html even via a bookmarked or directly-typed URL — it is bounced back to the login screen.</w:t>
            </w:r>
          </w:p>
        </w:tc>
      </w:tr>
    </w:tbl>
    <w:p>
      <w:pPr>
        <w:spacing w:after="160"/>
      </w:pPr>
    </w:p>
    <w:p>
      <w:pPr>
        <w:spacing w:after="140"/>
      </w:pPr>
      <w:r>
        <w:t xml:space="preserve">The fix fails safe in both directions: a genuine Property Owner is never affected (a role lookup error defaults to treating the session as a customer rather than locking a real owner out), while every non-customer role is blocked from customer-only side effects before they can run. This was the immediate, same-day fix. The table above ("instead of being routed anywhere" / "bounced back to the login screen") describes that first state; Section 3.3 below covers what replaced it once real dashboards existed for those roles to be routed to.</w:t>
      </w:r>
    </w:p>
    <w:p>
      <w:pPr>
        <w:pStyle w:val="Heading2"/>
        <w:spacing w:after="120" w:before="260"/>
      </w:pPr>
      <w:r>
        <w:t xml:space="preserve">3.3 New capability: web dashboards for Admin, Property Manager, and Property Executive</w:t>
      </w:r>
    </w:p>
    <w:p>
      <w:pPr>
        <w:spacing w:after="140"/>
      </w:pPr>
      <w:r>
        <w:t xml:space="preserve">The role-routing bug above raised an obvious follow-up question: Admin, Property Manager, and Property Executive accounts had a safe place to be blocked, but no web screen of their own — those workflows lived only in the mobile app. Building web equivalents was not part of this engagement's original scope (consistently defined as a customer/owner web portal), so before writing any code, the original workflow and gap-analysis document and the live database schema were re-checked to confirm exactly what each role's mobile dashboard actually does, and the account owner was asked to confirm the scope explicitly rather than assuming it. With that confirmed, three new web dashboards were built as a v1 — deliberately scoped to the core daily-operations screens, with a short, explicitly documented list of v2 follow-ups per role, rather than silently shipping a thin approximation of full parity.</w:t>
      </w:r>
    </w:p>
    <w:p>
      <w:pPr>
        <w:spacing w:after="140"/>
      </w:pPr>
      <w:r>
        <w:t xml:space="preserve">Every new screen reads and writes through the exact same backend the mobile app uses: the same SECURITY DEFINER RPCs (admin_assign_property_to_manager, manager_schedule_inspection, manager_review_inspection, manager_decide_photo/video, executive_submit_inspection, create_visit_assignment, admin_analytics_summary, reply_support_ticket), the same create-staff-user Edge Function for provisioning new Manager/Executive logins, and the same Row-Level Security policies already verified in Section 5.1 — confirmed directly against the live project schema and function definitions before any UI was written, not assumed from the mobile app's behavior.</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1600"/>
        <w:gridCol w:w="4200"/>
        <w:gridCol w:w="3500"/>
      </w:tblGrid>
      <w:tr>
        <w:trPr>
          <w:tblHeader/>
        </w:trPr>
        <w:tc>
          <w:tcPr>
            <w:tcW w:type="dxa" w:w="1600"/>
            <w:shd w:fill="0B3357" w:val="clear"/>
          </w:tcPr>
          <w:p>
            <w:r>
              <w:rPr>
                <w:b/>
                <w:bCs/>
                <w:color w:val="FFFFFF"/>
              </w:rPr>
              <w:t xml:space="preserve">Dashboard</w:t>
            </w:r>
          </w:p>
        </w:tc>
        <w:tc>
          <w:tcPr>
            <w:tcW w:type="dxa" w:w="4200"/>
            <w:shd w:fill="0B3357" w:val="clear"/>
          </w:tcPr>
          <w:p>
            <w:r>
              <w:rPr>
                <w:b/>
                <w:bCs/>
                <w:color w:val="FFFFFF"/>
              </w:rPr>
              <w:t xml:space="preserve">v1 (built)</w:t>
            </w:r>
          </w:p>
        </w:tc>
        <w:tc>
          <w:tcPr>
            <w:tcW w:type="dxa" w:w="3500"/>
            <w:shd w:fill="0B3357" w:val="clear"/>
          </w:tcPr>
          <w:p>
            <w:r>
              <w:rPr>
                <w:b/>
                <w:bCs/>
                <w:color w:val="FFFFFF"/>
              </w:rPr>
              <w:t xml:space="preserve">v2 (documented, not built)</w:t>
            </w:r>
          </w:p>
        </w:tc>
      </w:tr>
      <w:tr>
        <w:tc>
          <w:tcPr>
            <w:tcW w:type="dxa" w:w="1600"/>
          </w:tcPr>
          <w:p>
            <w:r>
              <w:rPr>
                <w:b w:val="false"/>
                <w:bCs w:val="false"/>
              </w:rPr>
              <w:t xml:space="preserve">Admin</w:t>
            </w:r>
          </w:p>
        </w:tc>
        <w:tc>
          <w:tcPr>
            <w:tcW w:type="dxa" w:w="4200"/>
          </w:tcPr>
          <w:p>
            <w:r>
              <w:rPr>
                <w:b w:val="false"/>
                <w:bCs w:val="false"/>
              </w:rPr>
              <w:t xml:space="preserve">Overview stats; Properties list with the same four filter chips as the mobile app plus assign-to-Manager; Property Managers and Property Executives lists with create-new via the same secure Edge Function; Customers list; Analytics/Reports with CSV export; a searchable Audit Log viewer</w:t>
            </w:r>
          </w:p>
        </w:tc>
        <w:tc>
          <w:tcPr>
            <w:tcW w:type="dxa" w:w="3500"/>
          </w:tcPr>
          <w:p>
            <w:r>
              <w:rPr>
                <w:b w:val="false"/>
                <w:bCs w:val="false"/>
              </w:rPr>
              <w:t xml:space="preserve">An editable Roles &amp; Permissions screen and web-based app Settings — RLS already enforces the real permission model regardless; these two screens have no clear web equivalent yet</w:t>
            </w:r>
          </w:p>
        </w:tc>
      </w:tr>
      <w:tr>
        <w:tc>
          <w:tcPr>
            <w:tcW w:type="dxa" w:w="1600"/>
            <w:shd w:fill="F4F9FD" w:val="clear"/>
          </w:tcPr>
          <w:p>
            <w:r>
              <w:rPr>
                <w:b w:val="false"/>
                <w:bCs w:val="false"/>
              </w:rPr>
              <w:t xml:space="preserve">Property Manager</w:t>
            </w:r>
          </w:p>
        </w:tc>
        <w:tc>
          <w:tcPr>
            <w:tcW w:type="dxa" w:w="4200"/>
            <w:shd w:fill="F4F9FD" w:val="clear"/>
          </w:tcPr>
          <w:p>
            <w:r>
              <w:rPr>
                <w:b w:val="false"/>
                <w:bCs w:val="false"/>
              </w:rPr>
              <w:t xml:space="preserve">Hero overview with a visit-pipeline bar; Assigned Properties with Schedule Visit; Site Visits with Reassign; Pending Approvals with whole-visit and per-photo/video approve/reject/revisit decisions; a company-wide read-only Executive roster; Support ticket replies</w:t>
            </w:r>
          </w:p>
        </w:tc>
        <w:tc>
          <w:tcPr>
            <w:tcW w:type="dxa" w:w="3500"/>
            <w:shd w:fill="F4F9FD" w:val="clear"/>
          </w:tcPr>
          <w:p>
            <w:r>
              <w:rPr>
                <w:b w:val="false"/>
                <w:bCs w:val="false"/>
              </w:rPr>
              <w:t xml:space="preserve">Live GPS tracking is shown as plain coordinates plus a Google Maps link rather than an embedded live map</w:t>
            </w:r>
          </w:p>
        </w:tc>
      </w:tr>
      <w:tr>
        <w:tc>
          <w:tcPr>
            <w:tcW w:type="dxa" w:w="1600"/>
          </w:tcPr>
          <w:p>
            <w:r>
              <w:rPr>
                <w:b w:val="false"/>
                <w:bCs w:val="false"/>
              </w:rPr>
              <w:t xml:space="preserve">Property Executive</w:t>
            </w:r>
          </w:p>
        </w:tc>
        <w:tc>
          <w:tcPr>
            <w:tcW w:type="dxa" w:w="4200"/>
          </w:tcPr>
          <w:p>
            <w:r>
              <w:rPr>
                <w:b w:val="false"/>
                <w:bCs w:val="false"/>
              </w:rPr>
              <w:t xml:space="preserve">Today's/Upcoming/All assigned visits; a visit detail screen with Mark Reached and Start Visit (using the browser's own location permission); Google Maps navigation; photo/video upload with GPS captured as metadata; final submission through the same executive_submit_inspection() RPC the app uses</w:t>
            </w:r>
          </w:p>
        </w:tc>
        <w:tc>
          <w:tcPr>
            <w:tcW w:type="dxa" w:w="3500"/>
          </w:tcPr>
          <w:p>
            <w:r>
              <w:rPr>
                <w:b w:val="false"/>
                <w:bCs w:val="false"/>
              </w:rPr>
              <w:t xml:space="preserve">The mobile app's map-thumbnail-and-address stamp baked directly onto the photo/video image itself — GPS is captured and stored either way, just shown alongside the media on web rather than rendered onto it</w:t>
            </w:r>
          </w:p>
        </w:tc>
      </w:tr>
    </w:tbl>
    <w:p>
      <w:pPr>
        <w:spacing w:after="160"/>
      </w:pPr>
    </w:p>
    <w:p>
      <w:pPr>
        <w:spacing w:after="140"/>
      </w:pPr>
      <w:r>
        <w:t xml:space="preserve">The original four role-routing regression tests (Section 3, test area "Role-based access control") were replaced with twenty broader ones, using the same fully mocked Supabase client — no real staff credentials or production data were touched. They confirm: every one of the five roles lands on its own correct dashboard after login; a mismatched direct dashboard URL is bounced through to the visitor's own real dashboard rather than the one it tried to reach; and each of the three new dashboards renders its complete navigation with no console errors after clicking through every nav item. Net effect: 123/123 to 139/139.</w:t>
      </w:r>
    </w:p>
    <w:p>
      <w:pPr>
        <w:pStyle w:val="Heading2"/>
        <w:spacing w:after="120" w:before="260"/>
      </w:pPr>
      <w:r>
        <w:t xml:space="preserve">3.4 Phase 3 enhancements: reassignment, ticket-reply visibility, and Visit Detail</w:t>
      </w:r>
    </w:p>
    <w:p>
      <w:pPr>
        <w:spacing w:after="140"/>
      </w:pPr>
      <w:r>
        <w:t xml:space="preserve">A further round of changes was requested after the three new dashboards shipped: enable reassigning a property (not just assigning an unassigned one) to a different Property Manager, and reassigning a scheduled visit to a different Property Executive, with the property owner's name, the property name, and the schedule date/time shown as context each time; make a support-ticket reply visibly obvious to the Property Owner rather than something they have to notice indirectly; and give the Property Owner a way to see, per visit, that visit's property details, photos, videos, and inspection checklist — none of which existed as a drill-down before.</w:t>
      </w:r>
    </w:p>
    <w:p>
      <w:pPr>
        <w:pStyle w:val="Heading3"/>
        <w:spacing w:after="100" w:before="200"/>
      </w:pPr>
      <w:r>
        <w:t xml:space="preserve">Reassignment</w:t>
      </w:r>
    </w:p>
    <w:p>
      <w:pPr>
        <w:spacing w:after="140"/>
      </w:pPr>
      <w:r>
        <w:t xml:space="preserve">The backend needed no changes here: admin_assign_property_to_manager() was already safely re-callable to supersede a prior assignment, and create_visit_assignment() already supports pointing an existing visit at a different Executive. This was purely a frontend gap. In the Admin dashboard's Properties list, the "Assign to Manager" button is now always present and relabels itself "Reassign" once a property already has a Manager; opening the modal now shows a context row — Owner, Property, and next scheduled visit (or "Not yet scheduled") — and, when reassigning, also shows who is currently assigned and pre-selects that Manager in the dropdown. The Property Manager dashboard's existing "Reassign visit" modal (for handing a scheduled visit to a different Executive) gained the same treatment: Owner, Property, Scheduled date/time, and the currently-assigned Executive are shown before a new one is picked.</w:t>
      </w:r>
    </w:p>
    <w:p>
      <w:pPr>
        <w:pStyle w:val="Heading3"/>
        <w:spacing w:after="100" w:before="200"/>
      </w:pPr>
      <w:r>
        <w:t xml:space="preserve">Support ticket reply visibility</w:t>
      </w:r>
    </w:p>
    <w:p>
      <w:pPr>
        <w:spacing w:after="140"/>
      </w:pPr>
      <w:r>
        <w:t xml:space="preserve">Investigation confirmed reply_support_ticket() already inserted a notifications row (type support_ticket_reply) addressed to the customer whenever an admin or manager replied — the notification existed, but nothing on the Property Owner's ticket list called attention to it. Fixed by checking for unread support_ticket_reply notifications when the Support tab loads and rendering a red "Response Received" badge directly on the affected ticket's card; opening that ticket marks the notification read and the badge clears.</w:t>
      </w:r>
    </w:p>
    <w:p>
      <w:pPr>
        <w:pStyle w:val="Heading3"/>
        <w:spacing w:after="100" w:before="200"/>
      </w:pPr>
      <w:r>
        <w:t xml:space="preserve">Visit Detail drill-down</w:t>
      </w:r>
    </w:p>
    <w:p>
      <w:pPr>
        <w:spacing w:after="140"/>
      </w:pPr>
      <w:r>
        <w:t xml:space="preserve">The Property Owner's Site Visits tab previously only listed visits with a status chip — clicking a row did nothing. It now opens a Visit Detail view for that visit: the property's name and address, the inspection checklist and condition/notes/observations (visible once the Property Manager has approved or completed the visit, per existing Row-Level Security — shown as an explanatory empty state before that point rather than an error), the Manager's remarks if any were left, and that visit's approved photos and videos in the same media-tile/lightbox pattern used elsewhere in the portal.</w:t>
      </w:r>
    </w:p>
    <w:p>
      <w:pPr>
        <w:pStyle w:val="Heading3"/>
        <w:spacing w:after="100" w:before="200"/>
      </w:pPr>
      <w:r>
        <w:t xml:space="preserve">A real bug found while testing this</w:t>
      </w:r>
    </w:p>
    <w:p>
      <w:pPr>
        <w:spacing w:after="140"/>
      </w:pPr>
      <w:r>
        <w:t xml:space="preserve">Writing the Visit Detail regression test surfaced a genuine, previously-unnoticed defect: the Home tab's own "Upcoming Visits" widget loads a capped, most-recent-5 site_visits query into the same in-memory State.visits array the Site Visits tab reads from, and the tab's own load-on-first-view guard was written as "only fetch if this array is still empty." Since Home always loads first, State.visits was never actually empty by the time a Property Owner clicked into Site Visits — so the tab silently stayed on its loading skeleton forever for any owner who had at least one visit, which in practice is nearly every owner. This is very plausibly the deeper cause behind "property owner can't see the Visit's dashboard list of properties." Fixed by making the Site Visits tab always reload its own full list on entry, the same way every other tab in this dashboard already behaves.</w:t>
      </w:r>
    </w:p>
    <w:p>
      <w:pPr>
        <w:spacing w:after="140"/>
      </w:pPr>
      <w:r>
        <w:t xml:space="preserve">Twelve new regression tests were added covering all three areas above (admin reassign button/context/pre-selection, manager reassign context, the ticket-reply badge, and the Visit Detail view including the checklist and manager remarks) plus a fifth confirming the Site Visits tab now actually renders its list. Net effect: 139/139 to 156/156.</w:t>
      </w:r>
    </w:p>
    <w:p>
      <w:pPr>
        <w:pStyle w:val="Heading2"/>
        <w:spacing w:after="120" w:before="260"/>
      </w:pPr>
      <w:r>
        <w:t xml:space="preserve">3.5 Phase 3b: "My Property" checklist, and a deployment note</w:t>
      </w:r>
    </w:p>
    <w:p>
      <w:pPr>
        <w:spacing w:after="140"/>
      </w:pPr>
      <w:r>
        <w:t xml:space="preserve">The user compared the website directly against the mobile app's Property Owner "My Property" screen — property list, property detail (status timeline, assigned Manager, address), Property Report history with download, and approved Photos/Videos — and reported seeing none of it on the live site. Testing this end-to-end against a mocked backend (the same technique used throughout this report) found that this screen already existed in the codebase and rendered every one of those pieces correctly, with one genuine gap: the inspection checklist and notes/observations, which existed on the per-visit Visit Detail screen (Section 3.4) but not on the property-level "My Property" screen the user was comparing against. That gap is now closed — "My Property" shows a Latest Inspection Checklist &amp; Notes card pulling the most recent inspection_reports row across the property's visits, matching the mobile app's checklist visibility.</w:t>
      </w:r>
    </w:p>
    <w:p>
      <w:pPr>
        <w:spacing w:after="140"/>
      </w:pPr>
      <w:r>
        <w:t xml:space="preserve">Because the rest of the screen already worked correctly against a fresh build in this sandbox, the most likely explanation for the user seeing "nothing" on the live site is that the currently-deployed nripropertyguard.in build predates this feature or a folder-structure issue from an earlier upload (see the workflow document, Section 8) — not a code defect in the delivered site. The recommendation is to re-upload the entire site/ folder from this delivery to replace whatever is currently live, then re-test "My Property" directly on the live URL.</w:t>
      </w:r>
    </w:p>
    <w:p>
      <w:pPr>
        <w:spacing w:after="140"/>
      </w:pPr>
      <w:r>
        <w:t xml:space="preserve">Five more regression tests were added confirming the property list renders, the detail view opens, and it shows the property name, status timeline, checklist item, report number, and approved-photo count. Net effect: 156/156 to 163/163.</w:t>
      </w:r>
    </w:p>
    <w:p>
      <w:pPr>
        <w:pStyle w:val="Heading2"/>
        <w:spacing w:after="120" w:before="260"/>
      </w:pPr>
      <w:r>
        <w:t xml:space="preserve">3.6 Phase 4: video timestamps, property thumbnails, and an Admin Customer 360 / financial statement</w:t>
      </w:r>
    </w:p>
    <w:p>
      <w:pPr>
        <w:spacing w:after="140"/>
      </w:pPr>
      <w:r>
        <w:t xml:space="preserve">A further round of requests: the Property Owner reported no timestamp on videos; a request to show a thumbnail image (the photo submitted at registration) on each card in "My Property"; and, on the Admin side, a much more detailed Customers screen — how many properties per customer, Regular vs Prime plan, how much has been paid, any dues, and which Manager and Property Executive are working that customer's properties, described by the user as needing to be "as much detailed... including financial statement."</w:t>
      </w:r>
    </w:p>
    <w:p>
      <w:pPr>
        <w:pStyle w:val="Heading3"/>
        <w:spacing w:after="100" w:before="200"/>
      </w:pPr>
      <w:r>
        <w:t xml:space="preserve">Video (and photo) timestamps</w:t>
      </w:r>
    </w:p>
    <w:p>
      <w:pPr>
        <w:spacing w:after="140"/>
      </w:pPr>
      <w:r>
        <w:t xml:space="preserve">Investigation found the underlying data was already correct — a direct query against the live database confirmed all 15 visit_videos rows have a populated captured_at, and the small caption under each grid thumbnail already displayed it. The actual gap: opening a photo or video full-size (the lightbox used for the Visits/Visit Detail/My Property/Pending Approvals screens) discarded that caption entirely, showing only the raw media with no timestamp at all while it was actually being viewed — the one place a Property Owner would look for it. Fixed by carrying the captured-at (and GPS, when present) through as data attributes on each media tile and rendering them as a caption beneath the media in the lightbox. The caption now also shows full date and time (previously date only) and the video player autoplays on open.</w:t>
      </w:r>
    </w:p>
    <w:p>
      <w:pPr>
        <w:spacing w:after="140"/>
      </w:pPr>
      <w:r>
        <w:t xml:space="preserve">Fixing this surfaced a real, previously-latent crash: the tile-building code assumed that whenever GPS latitude was present, GPS longitude would be too, and called .toFixed() on both unconditionally. A media row with latitude but no longitude (a realistic partial-GPS-capture case) would throw and leave the entire photos/videos section blank for that visit or property — not just the one affected tile. Both the latitude and longitude checks are now guarded independently.</w:t>
      </w:r>
    </w:p>
    <w:p>
      <w:pPr>
        <w:pStyle w:val="Heading3"/>
        <w:spacing w:after="100" w:before="200"/>
      </w:pPr>
      <w:r>
        <w:t xml:space="preserve">"My Property" thumbnails</w:t>
      </w:r>
    </w:p>
    <w:p>
      <w:pPr>
        <w:spacing w:after="140"/>
      </w:pPr>
      <w:r>
        <w:t xml:space="preserve">Each property card in "My Property" now shows a thumbnail using the photo submitted at property registration (media_source='initial'), turned into a signed URL. Signing failures are isolated per property (each wrapped in its own try/catch) so one property's thumbnail failing to load can never block the rest of the list from rendering — a defensive fix made after this exact failure mode was caught by the test-fixture work for this feature.</w:t>
      </w:r>
    </w:p>
    <w:p>
      <w:pPr>
        <w:pStyle w:val="Heading3"/>
        <w:spacing w:after="100" w:before="200"/>
      </w:pPr>
      <w:r>
        <w:t xml:space="preserve">Admin Customer 360 and financial statement</w:t>
      </w:r>
    </w:p>
    <w:p>
      <w:pPr>
        <w:spacing w:after="140"/>
      </w:pPr>
      <w:r>
        <w:t xml:space="preserve">The Customers screen's underlying invoices RLS policy already grants full read access to any admin/super_admin account (is_admin_or_above()), confirmed directly against the live database — no backend change was needed. The Customers list now shows, per customer: property count, a Regular/Prime plan badge, total paid, and any amount due (computed client-side from one bulk invoices query, the same one-query-then-group-in-JS pattern already used elsewhere in this dashboard, rather than one query per customer row). A new "View Statement" button opens a full Customer Detail screen: the customer's properties with each one's assigned Manager and latest-visit Executive (Executives are only ever assigned per-visit in this data model, not as a standing property-level field, so this is labeled "Latest Visit Executive" rather than implying a fixed assignment that doesn't exist), and a complete financial statement — every invoice with its billing month, description, amount, status, and due date, plus totals for invoiced/paid/due.</w:t>
      </w:r>
    </w:p>
    <w:p>
      <w:pPr>
        <w:spacing w:after="140"/>
      </w:pPr>
      <w:r>
        <w:t xml:space="preserve">Fourteen new regression tests cover all three changes: the lightbox timestamp caption (including the exact GPS-latitude-without-longitude shape that previously crashed), the property thumbnail, and the full Admin Customer 360 flow from the Customers list through to the financial statement. Net effect: 163/163 to 176/176.</w:t>
      </w:r>
    </w:p>
    <w:p>
      <w:pPr>
        <w:pStyle w:val="Heading2"/>
        <w:spacing w:after="120" w:before="260"/>
      </w:pPr>
      <w:r>
        <w:t xml:space="preserve">3.7 Phase 5: a persistent timestamp/GPS stamp everywhere, mandatory GPS on uploads, and 30-second auto-refresh</w:t>
      </w:r>
    </w:p>
    <w:p>
      <w:pPr>
        <w:spacing w:after="140"/>
      </w:pPr>
      <w:r>
        <w:t xml:space="preserve">The user shared a reference photo from a phone GPS-camera app — timestamp, coordinates, and place name burned permanently into the image — and asked why the website's videos still had none of that, that it should be shown the same way on every photo and video everywhere, and that every dashboard role should auto-refresh rather than needing a manual reload. Two design decisions were confirmed with the account owner before building this, since either one materially changes scope: showing the stamp as an always-visible on-screen overlay rather than burning it into the media file itself (feasible immediately, works for old and new media alike, versus a much larger effort — especially for video — that could only apply going forward), and making GPS mandatory by rejecting an upload outright when no fix is available rather than allowing it through best-effort (accepted as the stricter, more reliable option). Auto-refresh was set to a 30-second interval, pausing automatically while a tab isn't in focus.</w:t>
      </w:r>
    </w:p>
    <w:p>
      <w:pPr>
        <w:pStyle w:val="Heading3"/>
        <w:spacing w:after="100" w:before="200"/>
      </w:pPr>
      <w:r>
        <w:t xml:space="preserve">Persistent geo-stamp, everywhere</w:t>
      </w:r>
    </w:p>
    <w:p>
      <w:pPr>
        <w:spacing w:after="140"/>
      </w:pPr>
      <w:r>
        <w:t xml:space="preserve">The Phase 4 lightbox caption (Section 3.6) was a first step but only reached the Property Owner's own screens, showed a checkmark rather than actual coordinates, and sat in a caption below the media rather than on it. This phase replaced it with a shared N.geoStamp() helper used consistently across every dashboard: a compact single-line stamp on every grid thumbnail, and a larger badge — with a pin icon, full coordinates, and full date/time — overlaid directly on the photo or video inside the lightbox, the same way the reference screenshot stamps a phone photo. This was extended to two screens that had no timestamp or GPS display at all before this phase: the Property Executive's own "Captured Media" grid (previously icons with no caption and no click-to-view lightbox whatsoever — both were added), and the Property Manager's Pending Approvals review tiles and their lightbox (previously an icon with no caption, and a lightbox with no timestamp/GPS at all). Wherever a genuinely missing value would otherwise be silently omitted, it is now called out explicitly — "GPS not captured" or "Timestamp not recorded" — rather than just leaving a blank.</w:t>
      </w:r>
    </w:p>
    <w:p>
      <w:pPr>
        <w:pStyle w:val="Heading3"/>
        <w:spacing w:after="100" w:before="200"/>
      </w:pPr>
      <w:r>
        <w:t xml:space="preserve">A defect found and fixed while building this</w:t>
      </w:r>
    </w:p>
    <w:p>
      <w:pPr>
        <w:spacing w:after="140"/>
      </w:pPr>
      <w:r>
        <w:t xml:space="preserve">Regression testing the new lightbox overlay surfaced a real layout bug: because the overlay is anchored to the bottom of its media wrapper, a photo or video that hadn't finished loading yet (or, in this sandbox's network-restricted test environment, a signed URL that can never actually resolve) collapsed that wrapper to near-zero height, which pulled the bottom-anchored stamp all the way up to the top of the lightbox — directly over the modal's own close button, making it unclickable. Fixed by giving the media wrapper a fixed minimum height, so the stamp always sits at a predictable, safely bottom-anchored position regardless of what the media itself is doing.</w:t>
      </w:r>
    </w:p>
    <w:p>
      <w:pPr>
        <w:pStyle w:val="Heading3"/>
        <w:spacing w:after="100" w:before="200"/>
      </w:pPr>
      <w:r>
        <w:t xml:space="preserve">Mandatory GPS on Property Executive uploads</w:t>
      </w:r>
    </w:p>
    <w:p>
      <w:pPr>
        <w:spacing w:after="140"/>
      </w:pPr>
      <w:r>
        <w:t xml:space="preserve">Every photo and video upload previously proceeded even when the browser couldn't get a GPS fix (permission denied, no signal, geolocation unsupported) — GPS was attached only best-effort. Per the account owner's explicit choice, this is now enforced: uploadFiles() gets the location first and, if it fails, rejects the upload outright with a clear, actionable message ("Location is required for every photo and video...") before a single byte reaches Storage, resetting the file picker so the same files can be re-selected once location access is available. The visit-level GPS captured separately at Mark Reached / Start Visit / final submission was left as best-effort, since the user's request was specifically about photos and videos, not the visit lifecycle.</w:t>
      </w:r>
    </w:p>
    <w:p>
      <w:pPr>
        <w:pStyle w:val="Heading3"/>
        <w:spacing w:after="100" w:before="200"/>
      </w:pPr>
      <w:r>
        <w:t xml:space="preserve">30-second auto-refresh, every role</w:t>
      </w:r>
    </w:p>
    <w:p>
      <w:pPr>
        <w:spacing w:after="140"/>
      </w:pPr>
      <w:r>
        <w:t xml:space="preserve">A shared N.startAutoRefresh() helper (a setInterval that skips ticks while the tab is hidden) was added to the shared NRIPG namespace and wired into all four dashboards' boot sequences, refreshing whatever the signed-in user currently has open — lists, detail views, and the Admin Customer Statement and Property Manager Pending Approvals modals alike — without a toast on every tick (routine polling; the Owner dashboard's existing Realtime-triggered refresh still shows its "just updated" toast, since that's a genuine push notification rather than a timer). Verified with Playwright's fake-clock API (installing a virtual clock and fast-forwarding it 31 seconds) rather than an actual 30-second wait per test, confirming the timer is genuinely wired into each dashboard's boot() rather than merely present as an unused helper.</w:t>
      </w:r>
    </w:p>
    <w:p>
      <w:pPr>
        <w:spacing w:after="140"/>
      </w:pPr>
      <w:r>
        <w:t xml:space="preserve">Ten new regression tests cover this phase: the geo-stamp appearing correctly on the Property Executive's and Property Manager's screens (which had no timestamp/GPS display at all before this phase), the "GPS not captured" fallback, the mandatory-GPS upload rejection (with a mocked failing geolocation API) and its error message, and the auto-refresh timer firing via the fake-clock technique above. Net effect: 176/176 to 184/184.</w:t>
      </w:r>
    </w:p>
    <w:p>
      <w:pPr>
        <w:pStyle w:val="Heading2"/>
        <w:spacing w:after="120" w:before="260"/>
      </w:pPr>
      <w:r>
        <w:t xml:space="preserve">3.8 Phase 6: homepage nav bar alignment, and a fixed-size, non-scrolling, maximizable media lightbox</w:t>
      </w:r>
    </w:p>
    <w:p>
      <w:pPr>
        <w:spacing w:after="140"/>
      </w:pPr>
      <w:r>
        <w:t xml:space="preserve">The account owner reported that the homepage's menu bar titles "are not appearing properly or not in proper alignment" and asked for a more attractive nav bar, plus a second, unrelated request: opening a photo or video anywhere in the portal should show it at a fixed, comfortable size with no scrolling, and should offer a way to maximize it.</w:t>
      </w:r>
    </w:p>
    <w:p>
      <w:pPr>
        <w:pStyle w:val="Heading3"/>
        <w:spacing w:after="100" w:before="200"/>
      </w:pPr>
      <w:r>
        <w:t xml:space="preserve">Nav bar wrapping and misalignment</w:t>
      </w:r>
    </w:p>
    <w:p>
      <w:pPr>
        <w:spacing w:after="140"/>
      </w:pPr>
      <w:r>
        <w:t xml:space="preserve">Visual verification (Playwright screenshots at a range of common laptop and desktop widths, taken before writing any fix) confirmed the report: at anything from roughly 940px up to about 1450px wide, the nav row's 1180px content-container width was narrower than its actual content — a logo, seven links, and two buttons — so multi-word links like "How It Works" and "About Us", and even the brand name itself, would wrap onto a second line at certain widths, throwing the whole row out of vertical alignment and, at some widths, visually crowding "Contact" against the "Owner Login" button. Fixed by giving the nav row its own wider max-width (decoupled from the page's content container), adding white-space:nowrap to the brand name and every link, tightening gaps and font size just enough to fit the tightened row, adding a small teal underline that animates in on hover/active for a more polished look, and raising the point at which the row hands off to the mobile menu from 940px to 1240px, so a browser window too narrow to comfortably fit the desktop row falls back cleanly to the mobile menu instead of rendering a squeezed one. Verified with the same screenshot technique across 320px through 1920px on all 9 marketing pages, confirming a single-line, evenly-aligned row (or, below 1240px, the mobile menu) at every width tested.</w:t>
      </w:r>
    </w:p>
    <w:p>
      <w:pPr>
        <w:pStyle w:val="Heading3"/>
        <w:spacing w:after="100" w:before="200"/>
      </w:pPr>
      <w:r>
        <w:t xml:space="preserve">A pre-existing bug found and fixed while verifying the mobile menu</w:t>
      </w:r>
    </w:p>
    <w:p>
      <w:pPr>
        <w:spacing w:after="140"/>
      </w:pPr>
      <w:r>
        <w:t xml:space="preserve">Because the fix above meaningfully widens the range of browser widths that now use the mobile hamburger menu, that menu got the same close scrutiny as the desktop row — and measurement (not just a visual glance) surfaced two real, pre-existing defects in the mobile drawer that had shipped with the original site and simply never been exercised by geometry-level testing before. First: backdrop-filter (used for the nav bar's frosted-glass effect) on an ancestor element makes that ancestor the CSS containing block for any position:fixed descendant — so the "fixed" full-screen drawer was actually being sized and positioned relative to the roughly 60-97px-tall nav bar itself, not the viewport, collapsing it to a thin sliver instead of covering the screen. Fixed by moving the frosted-glass blur onto an empty ::before pseudo-element instead of the nav bar itself, which doesn't introduce the same containing-block problem. That fix immediately surfaced a second defect: the pseudo-element, now absolutely positioned, painted above the nav bar's ordinary in-flow content per standard CSS stacking rules, silently blocking clicks on the hamburger button itself — fixed with an explicit z-index placing it behind the nav bar's real content. Third, the drawer's top edge used a single hardcoded 66px offset to clear the header, but the header's real height varies substantially by width (measured at 66-191px across the widths a phone or narrow tablet can be, since the top info bar wraps onto more lines on narrower screens) — so the drawer could overlap the header/brand text at the top on many real phone widths. Fixed with a small script that measures the header's actual rendered height and hands it to the CSS as a custom property each time the drawer opens (and again on resize while it's open), so the drawer always starts exactly where the header ends, at any width.</w:t>
      </w:r>
    </w:p>
    <w:p>
      <w:pPr>
        <w:pStyle w:val="Heading3"/>
        <w:spacing w:after="100" w:before="200"/>
      </w:pPr>
      <w:r>
        <w:t xml:space="preserve">Fixed-size, non-scrolling, maximizable lightbox</w:t>
      </w:r>
    </w:p>
    <w:p>
      <w:pPr>
        <w:spacing w:after="140"/>
      </w:pPr>
      <w:r>
        <w:t xml:space="preserve">Every dashboard's photo/video lightbox (Property Owner, Property Manager, Property Executive) previously reused the same generic 560px, overflow-y:auto modal used for ordinary forms — sized off whatever the photo or video's natural dimensions happened to be, with a scrollbar as the fallback for anything that didn't fit. A tall portrait photo or an unusually large video could genuinely force the modal to scroll internally, which is the defect the account owner's report described. The lightbox now uses its own fixed, viewport-relative box (capped so it stays a sane size on large monitors too) with the photo or video scaled to fit fully inside it via object-fit:contain — comfortably sized, and with no internal scrollbar possible regardless of the media's shape or size. A new maximize control next to the close button expands the same box to fill the screen: it requests the browser's real Fullscreen API first, and — since a sandboxed context or an older browser can refuse or lack that API — falls back to a CSS state that expands the box to nearly the full viewport instead, so the control always visibly does something. Closing the lightbox, including via a background click, now also resets any maximized/fullscreen state, so it never reopens still enlarged from a previous view.</w:t>
      </w:r>
    </w:p>
    <w:p>
      <w:pPr>
        <w:spacing w:after="140"/>
      </w:pPr>
      <w:r>
        <w:t xml:space="preserve">Six new regression tests cover this phase: every real nav link sharing one vertical baseline at a representative squeezed desktop width, the mobile drawer's top edge exactly matching the measured header height, the lightbox having no internal scroll after opening (scrollHeight/scrollWidth never exceeding clientHeight/clientWidth), the maximize control being present, maximizing actually enlarging the view (real fullscreen or the CSS fallback), and the maximized state correctly resetting when the lightbox is closed. Net effect: 184/184 to 190/190.</w:t>
      </w:r>
    </w:p>
    <w:p>
      <w:pPr>
        <w:pStyle w:val="Heading2"/>
        <w:spacing w:after="120" w:before="260"/>
      </w:pPr>
      <w:r>
        <w:t xml:space="preserve">3.9 Phase 7: visit-frequency pricing, a redesigned Documents &amp; Invoices screen, and UPI "Pay Now"</w:t>
      </w:r>
    </w:p>
    <w:p>
      <w:pPr>
        <w:spacing w:after="140"/>
      </w:pPr>
      <w:r>
        <w:t xml:space="preserve">The account owner shared mobile-app screenshots of the Property Owner's Documents &amp; Invoices screen and asked for the website to match it, and separately asked for the pricing itself to change: rather than a flat ₹3,000/property (plus a flat ₹2,000/month Prime add-on regardless of property count), pricing should depend on how often the property is inspected, and a customer with more than 2 properties should automatically get a lower per-property rate. Two rounds of clarifying questions with the account owner confirmed the exact structure before any code was written, since this directly affects real customer billing: Regular (1 inspection visit/month) is ₹2,000/property/month and Prime (2 visits/month, keeping its existing Emergency SOS perk) is ₹3,500/property/month for 1 or 2 properties; registering more than 2 properties drops those to ₹1,500/property/month (Regular) and ₹2,500/property/month (Prime). A UPI payment option was also requested for the new "Pay Now" button.</w:t>
      </w:r>
    </w:p>
    <w:p>
      <w:pPr>
        <w:pStyle w:val="Heading3"/>
        <w:spacing w:after="100" w:before="200"/>
      </w:pPr>
      <w:r>
        <w:t xml:space="preserve">Dynamic pricing calculator</w:t>
      </w:r>
    </w:p>
    <w:p>
      <w:pPr>
        <w:spacing w:after="140"/>
      </w:pPr>
      <w:r>
        <w:t xml:space="preserve">A single shared calculator (N.calcMonthlyAmount(), N.pricingRateDescription() in portal/js/supabase-client.js) replaces the two dead, never-referenced constants the old flat model left behind (BASE_PRICE_PER_PROPERTY, PRIME_ADDON — confirmed unused anywhere in the codebase before removing them) and the hardcoded pricing strings that were scattered across the Property Owner's Profile tab and the public pricing page. The Profile tab's "Membership Plan" card now shows a live estimated monthly cost computed from the customer's actual property count and plan — visible immediately if they register or remove a property, rather than a static number. Actual invoice amounts are still produced by whatever process creates rows in the invoices table today (confirmed there is no invoice-generation code in this repository at all — see Section 3.3's RLS review); this calculator is what the website itself shows a customer as their expected monthly cost, and should be the reference figure for whatever process creates future invoices.</w:t>
      </w:r>
    </w:p>
    <w:p>
      <w:pPr>
        <w:pStyle w:val="Heading3"/>
        <w:spacing w:after="100" w:before="200"/>
      </w:pPr>
      <w:r>
        <w:t xml:space="preserve">Documents &amp; Invoices screen rebuilt to match the mobile app</w:t>
      </w:r>
    </w:p>
    <w:p>
      <w:pPr>
        <w:spacing w:after="140"/>
      </w:pPr>
      <w:r>
        <w:t xml:space="preserve">The website previously showed documents and invoices as two plain HTML tables stacked on one page. It now uses a Documents/Invoices segmented tab control (matching the mobile app's own tab switcher) with each row redrawn as an individual card: a document card shows an icon, title and "type · property · date" caption with a round download button; an invoice card shows the billing period and amount, a due date, the plan's rate description, a status pill, and — only on an unpaid invoice — a Download PDF button alongside the new Pay Now button.</w:t>
      </w:r>
    </w:p>
    <w:p>
      <w:pPr>
        <w:pStyle w:val="Heading3"/>
        <w:spacing w:after="100" w:before="200"/>
      </w:pPr>
      <w:r>
        <w:t xml:space="preserve">A pre-existing defect found and fixed while rebuilding this screen</w:t>
      </w:r>
    </w:p>
    <w:p>
      <w:pPr>
        <w:spacing w:after="140"/>
      </w:pPr>
      <w:r>
        <w:t xml:space="preserve">The invoice status pill (status-chip) had no color styling defined anywhere in the stylesheet for any of the three actual values the invoices table uses — "due", "paid", "overdue" — despite every other status value used elsewhere on the site (visit statuses, ticket statuses, etc.) having one. The pill was rendering with no background color at all, a real pre-existing cosmetic defect that had shipped with the original Documents &amp; Invoices table and simply hadn't been caught by visual review before. Fixed by adding the three missing rules (gold for Due, teal for Paid, red for Overdue), consistent with the color language already used everywhere else on the site.</w:t>
      </w:r>
    </w:p>
    <w:p>
      <w:pPr>
        <w:pStyle w:val="Heading3"/>
        <w:spacing w:after="100" w:before="200"/>
      </w:pPr>
      <w:r>
        <w:t xml:space="preserve">UPI "Pay Now"</w:t>
      </w:r>
    </w:p>
    <w:p>
      <w:pPr>
        <w:spacing w:after="140"/>
      </w:pPr>
      <w:r>
        <w:t xml:space="preserve">No payment gateway account (Razorpay or otherwise) exists for this project yet — the account owner's Known Pending Items already flagged Razorpay's live keys as unconfirmed — so rather than build against credentials that don't exist, Pay Now opens a UPI payment-intent link (upi://pay?...) with the amount and a reference note pre-filled, handing off directly to whichever UPI app (GPay, PhonePe, etc.) is installed on the customer's phone. This works from a mobile browser; on desktop, where there is no UPI app for the link to hand off to, clicking Pay Now instead shows the business's UPI ID and amount so the customer can pay manually. Because there is no payment gateway in the loop, this does not automatically confirm payment back to the system — an invoice stays "Due" until staff update its status once payment is actually received. The site's own privacy policy and FAQ, which previously described an aspirational, never-implemented Razorpay integration, were corrected to describe what is actually implemented today.</w:t>
      </w:r>
    </w:p>
    <w:p>
      <w:pPr>
        <w:pStyle w:val="Heading3"/>
        <w:spacing w:after="100" w:before="200"/>
      </w:pPr>
      <w:r>
        <w:t xml:space="preserve">Public pricing page also carried stale numbers</w:t>
      </w:r>
    </w:p>
    <w:p>
      <w:pPr>
        <w:spacing w:after="140"/>
      </w:pPr>
      <w:r>
        <w:t xml:space="preserve">The public Pricing page, the homepage's competitor-comparison table, and the FAQ's "How much does it cost?" / "How often is my property inspected?" answers all still stated the old flat ₹3,000/property rate and an unconditional "~2 visits/month" cadence for every plan. Left uncorrected, a prospective customer would see one price on the marketing site and a different, correct one after logging in — so these were updated to the same confirmed tiers as the calculator above, generated from the same Python page-builder scripts as every other content update in this engagement (pages_how_pricing.py, pages_home.py, pages_about_faq_contact.py, pages_legal.py) rather than hand-edited into the built HTML.</w:t>
      </w:r>
    </w:p>
    <w:p>
      <w:pPr>
        <w:spacing w:after="140"/>
      </w:pPr>
      <w:r>
        <w:t xml:space="preserve">Seventeen new regression tests cover this phase: the pricing calculator's output at 1, 2, 3, and 8 properties across both plans (confirming the more-than-2-properties threshold behaves exactly as specified, and that exactly 2 properties still uses the standard rate), the Documents/Invoices tab switching and card rendering, Pay Now appearing only on a due/overdue invoice and never on a paid one, the previously-missing status-pill colors actually being applied, the desktop fallback message when Pay Now is clicked without a UPI app available, the Profile tab's live cost estimate, and the public pricing page reflecting the new figures with no trace of the old flat rate. Net effect: 190/190 to 207/207.</w:t>
      </w:r>
    </w:p>
    <w:p>
      <w:pPr>
        <w:pStyle w:val="Heading2"/>
        <w:spacing w:after="120" w:before="260"/>
      </w:pPr>
      <w:r>
        <w:t xml:space="preserve">3.10 Phase 8: removed the on-screen timestamp/GPS overlay from every photo and video; confirmed "My Property" thumbnails</w:t>
      </w:r>
    </w:p>
    <w:p>
      <w:pPr>
        <w:spacing w:after="140"/>
      </w:pPr>
      <w:r>
        <w:t xml:space="preserve">The account owner asked for two things after reviewing the live Documents &amp; Invoices work: first, confirmation that "My Property" shows every registered property with the same reference image the customer uploaded at registration as its thumbnail; second, and described as the more important of the two, that the persistent timestamp/GPS stamp built in Section 3.7 and used everywhere since should not be shown on photos or videos at all — GPS and capture time should still be collected whenever a Property Executive takes a photo during an inspection, that data is simply not something a viewer should see drawn on the image or video itself.</w:t>
      </w:r>
    </w:p>
    <w:p>
      <w:pPr>
        <w:pStyle w:val="Heading3"/>
        <w:spacing w:after="100" w:before="200"/>
      </w:pPr>
      <w:r>
        <w:t xml:space="preserve">"My Property" thumbnails — already correct, confirmed rather than rebuilt</w:t>
      </w:r>
    </w:p>
    <w:p>
      <w:pPr>
        <w:spacing w:after="140"/>
      </w:pPr>
      <w:r>
        <w:t xml:space="preserve">Tracing the registration flow and the property-list rendering code (loadProperties() / renderPropertyList() in dashboard.js) confirmed this already works exactly as described: every photo a customer uploads during property registration is stored as a visit_photos row flagged media_source='initial', and the card for every registered property (regardless of workflow status) already shows the earliest such photo as its thumbnail, signed via Storage, with an isolated try/catch per property so one failed signing can never blank the rest of the list. No code change was needed here; this was verified against the existing regression test (my_property_list_shows_thumbnail) rather than re-implemented. If the account owner is not seeing this on the live site, the most likely explanation remains the stale/incomplete deployment already flagged in Section 6.</w:t>
      </w:r>
    </w:p>
    <w:p>
      <w:pPr>
        <w:pStyle w:val="Heading3"/>
        <w:spacing w:after="100" w:before="200"/>
      </w:pPr>
      <w:r>
        <w:t xml:space="preserve">Timestamp/GPS overlay removed from every dashboard's photos and videos</w:t>
      </w:r>
    </w:p>
    <w:p>
      <w:pPr>
        <w:spacing w:after="140"/>
      </w:pPr>
      <w:r>
        <w:t xml:space="preserve">The overlay built across Sections 3.6 and 3.7 (N.geoStamp(), rendered as a small caption strip on every grid thumbnail and a larger pin-icon badge on top of the media in every lightbox) has been removed entirely from the Property Owner, Property Manager, and Property Executive dashboards. The underlying capture and storage of captured_at, gps_lat, and gps_lng on every visit_photos/visit_videos row is unchanged and remains mandatory for a Property Executive's uploads (Section 3.7) — that data still exists for the tamper-evident audit trail and the generated inspection report, it is simply no longer drawn on top of the photo or video anywhere in the portal. The N.geoStamp() helper and its associated CSS (.geo-stamp, .geo-stamp-compact) were deleted rather than left disabled, and the now-unused data-captured-at/data-gps-lat/data-gps-lng attributes and dataset reads that only existed to feed that helper were removed alongside it.</w:t>
      </w:r>
    </w:p>
    <w:p>
      <w:pPr>
        <w:spacing w:after="140"/>
      </w:pPr>
      <w:r>
        <w:t xml:space="preserve">Three new regression tests replace the Section 3.6/3.7 tests that previously asserted the stamp's presence, now asserting its absence instead: on the Property Owner's My Property lightbox, on the Property Manager's Pending Approvals review tile and lightbox, and on the Property Executive's own Captured Media grid and lightbox — each checking both that the specific coordinate/timestamp text no longer appears and that no .geo-stamp element exists in the DOM at all. Net effect: 207/207 to 210/210.</w:t>
      </w:r>
    </w:p>
    <w:p>
      <w:pPr>
        <w:pStyle w:val="Heading2"/>
        <w:spacing w:after="120" w:before="260"/>
      </w:pPr>
      <w:r>
        <w:t xml:space="preserve">3.11 Phase 9: performance pass — a real repeated-download bug fixed, plus hosting-level hardening</w:t>
      </w:r>
    </w:p>
    <w:p>
      <w:pPr>
        <w:spacing w:after="140"/>
      </w:pPr>
      <w:r>
        <w:t xml:space="preserve">The account owner reported the website feels slow after using it. Rather than guess, this phase re-ran the same Lighthouse tooling used throughout this engagement, re-read every dashboard's data-loading code end to end looking for anti-patterns (N+1 queries, unbounded polling, unnecessary re-fetches), and checked the previously-documented but never-actioned performance recommendations from Section 6.5. One genuine, measurable bug was found and fixed; two lower-impact hardening changes were made alongside it; one already-known recommendation remains blocked by this build sandbox's own network restrictions, unchanged from Section 7.</w:t>
      </w:r>
    </w:p>
    <w:p>
      <w:pPr>
        <w:pStyle w:val="Heading3"/>
        <w:spacing w:after="100" w:before="200"/>
      </w:pPr>
      <w:r>
        <w:t xml:space="preserve">The real bug: every property thumbnail was silently re-downloaded every ~30 seconds, on every tab</w:t>
      </w:r>
    </w:p>
    <w:p>
      <w:pPr>
        <w:spacing w:after="140"/>
      </w:pPr>
      <w:r>
        <w:t xml:space="preserve">The Property Owner dashboard's 30-second auto-refresh (Section 3.7) and its Realtime push handler both call the same refreshCurrentView(), which unconditionally calls loadProperties() regardless of which tab is actually open — reasonable, since Home and Profile both depend on the property count. The defect was inside loadProperties() itself: every call rebuilt State.properties from a fresh database query and then re-signed a brand-new Supabase Storage URL for every property's thumbnail photo, every time, with no memory of the URL it had signed 30 seconds earlier. A signed URL is a distinct string on every signing (it carries its own token/expiry), so from the browser's point of view each refresh handed it what looked like a completely new image — there was no way for it to recognize "this is the same photo I already have" and it re-downloaded every property's thumbnail from Storage every 30 seconds, for as long as the dashboard tab stayed open, regardless of which tab the owner was actually looking at. For an owner with several properties and phone-camera-sized reference photos, that is a steady, compounding stream of unnecessary image downloads sitting on top of everything else the dashboard is doing — a very plausible source of a dashboard that "feels slow" the longer it's left open, distinct from anything a single-page-load Lighthouse audit would catch.</w:t>
      </w:r>
    </w:p>
    <w:p>
      <w:pPr>
        <w:spacing w:after="140"/>
      </w:pPr>
      <w:r>
        <w:t xml:space="preserve">Fixed with a small in-memory cache keyed by the photo's storage path (which only changes if the underlying photo itself changes): a signed URL is now reused for up to 5 minutes — comfortably inside the 600-second window it's actually valid for — instead of being re-signed on every refresh. This cuts the redundant Storage API calls to essentially zero during normal use, and because the URL now stays stable across refreshes, the browser's own HTTP cache can serve the image without a network round-trip at all on a repeat render. Four new regression tests drive a real loadProperties() call twice — once at boot, once via a fast-forwarded 30-second auto-refresh tick, using Playwright's fake-clock API as in Section 3.7 — against a fixture that counts its own signing calls, and assert the count stays at 1 across both calls while the thumbnail still renders correctly both times.</w:t>
      </w:r>
    </w:p>
    <w:p>
      <w:pPr>
        <w:pStyle w:val="Heading3"/>
        <w:spacing w:after="100" w:before="200"/>
      </w:pPr>
      <w:r>
        <w:t xml:space="preserve">Two smaller hardening changes</w:t>
      </w:r>
    </w:p>
    <w:p>
      <w:pPr>
        <w:spacing w:after="140"/>
      </w:pPr>
      <w:r>
        <w:t xml:space="preserve">Property thumbnails now carry loading="lazy" and decoding="async", so an owner with many properties doesn't pay the decode/paint cost for thumbnails below the fold before they're ever scrolled to. The WhatsApp widget's attention-pulse animation, previously animation: ...infinite (permanently animating for as long as the tab is open), now runs three times and stops — still noticeable on page load, but no longer keeping the compositor busy indefinitely, which matters more on the phones most visitors here use than on a desktop test machine.</w:t>
      </w:r>
    </w:p>
    <w:p>
      <w:pPr>
        <w:pStyle w:val="Heading3"/>
        <w:spacing w:after="100" w:before="200"/>
      </w:pPr>
      <w:r>
        <w:t xml:space="preserve">Hosting-level hardening: compression and browser caching</w:t>
      </w:r>
    </w:p>
    <w:p>
      <w:pPr>
        <w:spacing w:after="140"/>
      </w:pPr>
      <w:r>
        <w:t xml:space="preserve">A new .htaccess was added at the site root enabling gzip/deflate compression for text assets (HTML/CSS/JS/JSON/SVG/fonts) and browser caching for static assets (1 day for CSS/JS, 7 days for images/icons, 30 days for fonts; HTML itself stays no-cache so every page reflects the latest deploy). Compression and caching are not guaranteed to be on by default on shared cPanel hosting, and this build sandbox's local static file server does not read .htaccess at all, so this change could not be measured with the same before/after Lighthouse numbers used elsewhere in this report — it is standard, low-risk, and should be verified directly against the live domain once deployed (a response with a Content-Encoding: gzip header and a Cache-Control header on a .css/.js/image request confirms it took effect).</w:t>
      </w:r>
    </w:p>
    <w:p>
      <w:pPr>
        <w:pStyle w:val="Heading3"/>
        <w:spacing w:after="100" w:before="200"/>
      </w:pPr>
      <w:r>
        <w:t xml:space="preserve">Recommendation still blocked by this build sandbox</w:t>
      </w:r>
    </w:p>
    <w:p>
      <w:pPr>
        <w:spacing w:after="140"/>
      </w:pPr>
      <w:r>
        <w:t xml:space="preserve">Section 6.5's "self-host Google Fonts" recommendation — removing the one remaining external request from every page's critical rendering path, the same way the Supabase JS SDK was already self-hosted — was attempted again this phase and is still blocked by this sandbox's network egress rules (Section 7), which refuse the request to Google's font CDN entirely. This is unchanged from before; it should be revisited from an environment with normal internet access.</w:t>
      </w:r>
    </w:p>
    <w:p>
      <w:pPr>
        <w:spacing w:after="140"/>
      </w:pPr>
      <w:r>
        <w:t xml:space="preserve">Lighthouse was re-run against the marketing site after these changes: the homepage's Performance score, Speed Index, LCP, TBT and CLS were unchanged from Section 6.2's figures. That is expected and worth being direct about — this build sandbox's local test server has no meaningful network latency to begin with, so it was never going to show the .htaccess or caching improvements, and the marketing pages were never the slow part (51 KiB total, 98/100 performance already). The fix that matters here is the dashboard bug above, which a single-page-load Lighthouse run against a logged-out marketing page structurally cannot see, since it only shows up on an authenticated dashboard over time.</w:t>
      </w:r>
    </w:p>
    <w:p>
      <w:pPr>
        <w:pStyle w:val="Heading1"/>
        <w:spacing w:after="160" w:before="320"/>
      </w:pPr>
      <w:r>
        <w:t xml:space="preserve">4. Accessibility</w:t>
      </w:r>
    </w:p>
    <w:p>
      <w:pPr>
        <w:spacing w:after="140"/>
      </w:pPr>
      <w:r>
        <w:t xml:space="preserve">Audited with Lighthouse. The homepage's accessibility score moved from 89/100 (at the start of this test pass) to 100/100 after the fixes described in Section 3.1. Every other page now also scores 100/100.</w:t>
      </w:r>
    </w:p>
    <w:tbl>
      <w:tblPr>
        <w:tblW w:type="dxa" w:w="9700"/>
        <w:tblBorders>
          <w:top w:val="single" w:color="auto" w:sz="4"/>
          <w:left w:val="single" w:color="auto" w:sz="4"/>
          <w:bottom w:val="single" w:color="auto" w:sz="4"/>
          <w:right w:val="single" w:color="auto" w:sz="4"/>
          <w:insideH w:val="single" w:color="auto" w:sz="4"/>
          <w:insideV w:val="single" w:color="auto" w:sz="4"/>
        </w:tblBorders>
      </w:tblPr>
      <w:tblGrid>
        <w:gridCol w:w="3400"/>
        <w:gridCol w:w="1600"/>
        <w:gridCol w:w="1600"/>
        <w:gridCol w:w="1600"/>
        <w:gridCol w:w="1500"/>
      </w:tblGrid>
      <w:tr>
        <w:trPr>
          <w:tblHeader/>
        </w:trPr>
        <w:tc>
          <w:tcPr>
            <w:tcW w:type="dxa" w:w="3400"/>
            <w:shd w:fill="0B3357" w:val="clear"/>
          </w:tcPr>
          <w:p>
            <w:r>
              <w:rPr>
                <w:b/>
                <w:bCs/>
                <w:color w:val="FFFFFF"/>
              </w:rPr>
              <w:t xml:space="preserve">Page</w:t>
            </w:r>
          </w:p>
        </w:tc>
        <w:tc>
          <w:tcPr>
            <w:tcW w:type="dxa" w:w="1600"/>
            <w:shd w:fill="0B3357" w:val="clear"/>
          </w:tcPr>
          <w:p>
            <w:r>
              <w:rPr>
                <w:b/>
                <w:bCs/>
                <w:color w:val="FFFFFF"/>
              </w:rPr>
              <w:t xml:space="preserve">Performance</w:t>
            </w:r>
          </w:p>
        </w:tc>
        <w:tc>
          <w:tcPr>
            <w:tcW w:type="dxa" w:w="1600"/>
            <w:shd w:fill="0B3357" w:val="clear"/>
          </w:tcPr>
          <w:p>
            <w:r>
              <w:rPr>
                <w:b/>
                <w:bCs/>
                <w:color w:val="FFFFFF"/>
              </w:rPr>
              <w:t xml:space="preserve">Accessibility</w:t>
            </w:r>
          </w:p>
        </w:tc>
        <w:tc>
          <w:tcPr>
            <w:tcW w:type="dxa" w:w="1600"/>
            <w:shd w:fill="0B3357" w:val="clear"/>
          </w:tcPr>
          <w:p>
            <w:r>
              <w:rPr>
                <w:b/>
                <w:bCs/>
                <w:color w:val="FFFFFF"/>
              </w:rPr>
              <w:t xml:space="preserve">Best Practices</w:t>
            </w:r>
          </w:p>
        </w:tc>
        <w:tc>
          <w:tcPr>
            <w:tcW w:type="dxa" w:w="1500"/>
            <w:shd w:fill="0B3357" w:val="clear"/>
          </w:tcPr>
          <w:p>
            <w:r>
              <w:rPr>
                <w:b/>
                <w:bCs/>
                <w:color w:val="FFFFFF"/>
              </w:rPr>
              <w:t xml:space="preserve">SEO</w:t>
            </w:r>
          </w:p>
        </w:tc>
      </w:tr>
      <w:tr>
        <w:tc>
          <w:tcPr>
            <w:tcW w:type="dxa" w:w="3400"/>
          </w:tcPr>
          <w:p>
            <w:r>
              <w:rPr>
                <w:b w:val="false"/>
                <w:bCs w:val="false"/>
              </w:rPr>
              <w:t xml:space="preserve">Home</w:t>
            </w:r>
          </w:p>
        </w:tc>
        <w:tc>
          <w:tcPr>
            <w:tcW w:type="dxa" w:w="1600"/>
          </w:tcPr>
          <w:p>
            <w:r>
              <w:rPr>
                <w:b w:val="false"/>
                <w:bCs w:val="false"/>
              </w:rPr>
              <w:t xml:space="preserve">98</w:t>
            </w:r>
          </w:p>
        </w:tc>
        <w:tc>
          <w:tcPr>
            <w:tcW w:type="dxa" w:w="1600"/>
          </w:tcPr>
          <w:p>
            <w:r>
              <w:rPr>
                <w:b w:val="false"/>
                <w:bCs w:val="false"/>
              </w:rPr>
              <w:t xml:space="preserve">100</w:t>
            </w:r>
          </w:p>
        </w:tc>
        <w:tc>
          <w:tcPr>
            <w:tcW w:type="dxa" w:w="1600"/>
          </w:tcPr>
          <w:p>
            <w:r>
              <w:rPr>
                <w:b w:val="false"/>
                <w:bCs w:val="false"/>
              </w:rPr>
              <w:t xml:space="preserve">96</w:t>
            </w:r>
          </w:p>
        </w:tc>
        <w:tc>
          <w:tcPr>
            <w:tcW w:type="dxa" w:w="1500"/>
          </w:tcPr>
          <w:p>
            <w:r>
              <w:rPr>
                <w:b w:val="false"/>
                <w:bCs w:val="false"/>
              </w:rPr>
              <w:t xml:space="preserve">100</w:t>
            </w:r>
          </w:p>
        </w:tc>
      </w:tr>
      <w:tr>
        <w:tc>
          <w:tcPr>
            <w:tcW w:type="dxa" w:w="3400"/>
            <w:shd w:fill="F4F9FD" w:val="clear"/>
          </w:tcPr>
          <w:p>
            <w:r>
              <w:rPr>
                <w:b w:val="false"/>
                <w:bCs w:val="false"/>
              </w:rPr>
              <w:t xml:space="preserve">Services</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96</w:t>
            </w:r>
          </w:p>
        </w:tc>
        <w:tc>
          <w:tcPr>
            <w:tcW w:type="dxa" w:w="1500"/>
            <w:shd w:fill="F4F9FD" w:val="clear"/>
          </w:tcPr>
          <w:p>
            <w:r>
              <w:rPr>
                <w:b w:val="false"/>
                <w:bCs w:val="false"/>
              </w:rPr>
              <w:t xml:space="preserve">100</w:t>
            </w:r>
          </w:p>
        </w:tc>
      </w:tr>
      <w:tr>
        <w:tc>
          <w:tcPr>
            <w:tcW w:type="dxa" w:w="3400"/>
          </w:tcPr>
          <w:p>
            <w:r>
              <w:rPr>
                <w:b w:val="false"/>
                <w:bCs w:val="false"/>
              </w:rPr>
              <w:t xml:space="preserve">How It Works</w:t>
            </w:r>
          </w:p>
        </w:tc>
        <w:tc>
          <w:tcPr>
            <w:tcW w:type="dxa" w:w="1600"/>
          </w:tcPr>
          <w:p>
            <w:r>
              <w:rPr>
                <w:b w:val="false"/>
                <w:bCs w:val="false"/>
              </w:rPr>
              <w:t xml:space="preserve">98</w:t>
            </w:r>
          </w:p>
        </w:tc>
        <w:tc>
          <w:tcPr>
            <w:tcW w:type="dxa" w:w="1600"/>
          </w:tcPr>
          <w:p>
            <w:r>
              <w:rPr>
                <w:b w:val="false"/>
                <w:bCs w:val="false"/>
              </w:rPr>
              <w:t xml:space="preserve">100</w:t>
            </w:r>
          </w:p>
        </w:tc>
        <w:tc>
          <w:tcPr>
            <w:tcW w:type="dxa" w:w="1600"/>
          </w:tcPr>
          <w:p>
            <w:r>
              <w:rPr>
                <w:b w:val="false"/>
                <w:bCs w:val="false"/>
              </w:rPr>
              <w:t xml:space="preserve">96</w:t>
            </w:r>
          </w:p>
        </w:tc>
        <w:tc>
          <w:tcPr>
            <w:tcW w:type="dxa" w:w="1500"/>
          </w:tcPr>
          <w:p>
            <w:r>
              <w:rPr>
                <w:b w:val="false"/>
                <w:bCs w:val="false"/>
              </w:rPr>
              <w:t xml:space="preserve">100</w:t>
            </w:r>
          </w:p>
        </w:tc>
      </w:tr>
      <w:tr>
        <w:tc>
          <w:tcPr>
            <w:tcW w:type="dxa" w:w="3400"/>
            <w:shd w:fill="F4F9FD" w:val="clear"/>
          </w:tcPr>
          <w:p>
            <w:r>
              <w:rPr>
                <w:b w:val="false"/>
                <w:bCs w:val="false"/>
              </w:rPr>
              <w:t xml:space="preserve">Pricing</w:t>
            </w:r>
          </w:p>
        </w:tc>
        <w:tc>
          <w:tcPr>
            <w:tcW w:type="dxa" w:w="1600"/>
            <w:shd w:fill="F4F9FD" w:val="clear"/>
          </w:tcPr>
          <w:p>
            <w:r>
              <w:rPr>
                <w:b w:val="false"/>
                <w:bCs w:val="false"/>
              </w:rPr>
              <w:t xml:space="preserve">99</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96</w:t>
            </w:r>
          </w:p>
        </w:tc>
        <w:tc>
          <w:tcPr>
            <w:tcW w:type="dxa" w:w="1500"/>
            <w:shd w:fill="F4F9FD" w:val="clear"/>
          </w:tcPr>
          <w:p>
            <w:r>
              <w:rPr>
                <w:b w:val="false"/>
                <w:bCs w:val="false"/>
              </w:rPr>
              <w:t xml:space="preserve">100</w:t>
            </w:r>
          </w:p>
        </w:tc>
      </w:tr>
      <w:tr>
        <w:tc>
          <w:tcPr>
            <w:tcW w:type="dxa" w:w="3400"/>
          </w:tcPr>
          <w:p>
            <w:r>
              <w:rPr>
                <w:b w:val="false"/>
                <w:bCs w:val="false"/>
              </w:rPr>
              <w:t xml:space="preserve">About</w:t>
            </w:r>
          </w:p>
        </w:tc>
        <w:tc>
          <w:tcPr>
            <w:tcW w:type="dxa" w:w="1600"/>
          </w:tcPr>
          <w:p>
            <w:r>
              <w:rPr>
                <w:b w:val="false"/>
                <w:bCs w:val="false"/>
              </w:rPr>
              <w:t xml:space="preserve">98</w:t>
            </w:r>
          </w:p>
        </w:tc>
        <w:tc>
          <w:tcPr>
            <w:tcW w:type="dxa" w:w="1600"/>
          </w:tcPr>
          <w:p>
            <w:r>
              <w:rPr>
                <w:b w:val="false"/>
                <w:bCs w:val="false"/>
              </w:rPr>
              <w:t xml:space="preserve">100</w:t>
            </w:r>
          </w:p>
        </w:tc>
        <w:tc>
          <w:tcPr>
            <w:tcW w:type="dxa" w:w="1600"/>
          </w:tcPr>
          <w:p>
            <w:r>
              <w:rPr>
                <w:b w:val="false"/>
                <w:bCs w:val="false"/>
              </w:rPr>
              <w:t xml:space="preserve">96</w:t>
            </w:r>
          </w:p>
        </w:tc>
        <w:tc>
          <w:tcPr>
            <w:tcW w:type="dxa" w:w="1500"/>
          </w:tcPr>
          <w:p>
            <w:r>
              <w:rPr>
                <w:b w:val="false"/>
                <w:bCs w:val="false"/>
              </w:rPr>
              <w:t xml:space="preserve">100</w:t>
            </w:r>
          </w:p>
        </w:tc>
      </w:tr>
      <w:tr>
        <w:tc>
          <w:tcPr>
            <w:tcW w:type="dxa" w:w="3400"/>
            <w:shd w:fill="F4F9FD" w:val="clear"/>
          </w:tcPr>
          <w:p>
            <w:r>
              <w:rPr>
                <w:b w:val="false"/>
                <w:bCs w:val="false"/>
              </w:rPr>
              <w:t xml:space="preserve">FAQ</w:t>
            </w:r>
          </w:p>
        </w:tc>
        <w:tc>
          <w:tcPr>
            <w:tcW w:type="dxa" w:w="1600"/>
            <w:shd w:fill="F4F9FD" w:val="clear"/>
          </w:tcPr>
          <w:p>
            <w:r>
              <w:rPr>
                <w:b w:val="false"/>
                <w:bCs w:val="false"/>
              </w:rPr>
              <w:t xml:space="preserve">98</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96</w:t>
            </w:r>
          </w:p>
        </w:tc>
        <w:tc>
          <w:tcPr>
            <w:tcW w:type="dxa" w:w="1500"/>
            <w:shd w:fill="F4F9FD" w:val="clear"/>
          </w:tcPr>
          <w:p>
            <w:r>
              <w:rPr>
                <w:b w:val="false"/>
                <w:bCs w:val="false"/>
              </w:rPr>
              <w:t xml:space="preserve">100</w:t>
            </w:r>
          </w:p>
        </w:tc>
      </w:tr>
      <w:tr>
        <w:tc>
          <w:tcPr>
            <w:tcW w:type="dxa" w:w="3400"/>
          </w:tcPr>
          <w:p>
            <w:r>
              <w:rPr>
                <w:b w:val="false"/>
                <w:bCs w:val="false"/>
              </w:rPr>
              <w:t xml:space="preserve">Contact</w:t>
            </w:r>
          </w:p>
        </w:tc>
        <w:tc>
          <w:tcPr>
            <w:tcW w:type="dxa" w:w="1600"/>
          </w:tcPr>
          <w:p>
            <w:r>
              <w:rPr>
                <w:b w:val="false"/>
                <w:bCs w:val="false"/>
              </w:rPr>
              <w:t xml:space="preserve">100</w:t>
            </w:r>
          </w:p>
        </w:tc>
        <w:tc>
          <w:tcPr>
            <w:tcW w:type="dxa" w:w="1600"/>
          </w:tcPr>
          <w:p>
            <w:r>
              <w:rPr>
                <w:b w:val="false"/>
                <w:bCs w:val="false"/>
              </w:rPr>
              <w:t xml:space="preserve">100</w:t>
            </w:r>
          </w:p>
        </w:tc>
        <w:tc>
          <w:tcPr>
            <w:tcW w:type="dxa" w:w="1600"/>
          </w:tcPr>
          <w:p>
            <w:r>
              <w:rPr>
                <w:b w:val="false"/>
                <w:bCs w:val="false"/>
              </w:rPr>
              <w:t xml:space="preserve">96</w:t>
            </w:r>
          </w:p>
        </w:tc>
        <w:tc>
          <w:tcPr>
            <w:tcW w:type="dxa" w:w="1500"/>
          </w:tcPr>
          <w:p>
            <w:r>
              <w:rPr>
                <w:b w:val="false"/>
                <w:bCs w:val="false"/>
              </w:rPr>
              <w:t xml:space="preserve">100</w:t>
            </w:r>
          </w:p>
        </w:tc>
      </w:tr>
      <w:tr>
        <w:tc>
          <w:tcPr>
            <w:tcW w:type="dxa" w:w="3400"/>
            <w:shd w:fill="F4F9FD" w:val="clear"/>
          </w:tcPr>
          <w:p>
            <w:r>
              <w:rPr>
                <w:b w:val="false"/>
                <w:bCs w:val="false"/>
              </w:rPr>
              <w:t xml:space="preserve">Privacy Policy</w:t>
            </w:r>
          </w:p>
        </w:tc>
        <w:tc>
          <w:tcPr>
            <w:tcW w:type="dxa" w:w="1600"/>
            <w:shd w:fill="F4F9FD" w:val="clear"/>
          </w:tcPr>
          <w:p>
            <w:r>
              <w:rPr>
                <w:b w:val="false"/>
                <w:bCs w:val="false"/>
              </w:rPr>
              <w:t xml:space="preserve">98</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96</w:t>
            </w:r>
          </w:p>
        </w:tc>
        <w:tc>
          <w:tcPr>
            <w:tcW w:type="dxa" w:w="1500"/>
            <w:shd w:fill="F4F9FD" w:val="clear"/>
          </w:tcPr>
          <w:p>
            <w:r>
              <w:rPr>
                <w:b w:val="false"/>
                <w:bCs w:val="false"/>
              </w:rPr>
              <w:t xml:space="preserve">100</w:t>
            </w:r>
          </w:p>
        </w:tc>
      </w:tr>
      <w:tr>
        <w:tc>
          <w:tcPr>
            <w:tcW w:type="dxa" w:w="3400"/>
          </w:tcPr>
          <w:p>
            <w:r>
              <w:rPr>
                <w:b w:val="false"/>
                <w:bCs w:val="false"/>
              </w:rPr>
              <w:t xml:space="preserve">Terms</w:t>
            </w:r>
          </w:p>
        </w:tc>
        <w:tc>
          <w:tcPr>
            <w:tcW w:type="dxa" w:w="1600"/>
          </w:tcPr>
          <w:p>
            <w:r>
              <w:rPr>
                <w:b w:val="false"/>
                <w:bCs w:val="false"/>
              </w:rPr>
              <w:t xml:space="preserve">100</w:t>
            </w:r>
          </w:p>
        </w:tc>
        <w:tc>
          <w:tcPr>
            <w:tcW w:type="dxa" w:w="1600"/>
          </w:tcPr>
          <w:p>
            <w:r>
              <w:rPr>
                <w:b w:val="false"/>
                <w:bCs w:val="false"/>
              </w:rPr>
              <w:t xml:space="preserve">100</w:t>
            </w:r>
          </w:p>
        </w:tc>
        <w:tc>
          <w:tcPr>
            <w:tcW w:type="dxa" w:w="1600"/>
          </w:tcPr>
          <w:p>
            <w:r>
              <w:rPr>
                <w:b w:val="false"/>
                <w:bCs w:val="false"/>
              </w:rPr>
              <w:t xml:space="preserve">96</w:t>
            </w:r>
          </w:p>
        </w:tc>
        <w:tc>
          <w:tcPr>
            <w:tcW w:type="dxa" w:w="1500"/>
          </w:tcPr>
          <w:p>
            <w:r>
              <w:rPr>
                <w:b w:val="false"/>
                <w:bCs w:val="false"/>
              </w:rPr>
              <w:t xml:space="preserve">100</w:t>
            </w:r>
          </w:p>
        </w:tc>
      </w:tr>
      <w:tr>
        <w:tc>
          <w:tcPr>
            <w:tcW w:type="dxa" w:w="3400"/>
            <w:shd w:fill="F4F9FD" w:val="clear"/>
          </w:tcPr>
          <w:p>
            <w:r>
              <w:rPr>
                <w:b w:val="false"/>
                <w:bCs w:val="false"/>
              </w:rPr>
              <w:t xml:space="preserve">Owner Portal Login</w:t>
            </w:r>
          </w:p>
        </w:tc>
        <w:tc>
          <w:tcPr>
            <w:tcW w:type="dxa" w:w="1600"/>
            <w:shd w:fill="F4F9FD" w:val="clear"/>
          </w:tcPr>
          <w:p>
            <w:r>
              <w:rPr>
                <w:b w:val="false"/>
                <w:bCs w:val="false"/>
              </w:rPr>
              <w:t xml:space="preserve">94</w:t>
            </w:r>
          </w:p>
        </w:tc>
        <w:tc>
          <w:tcPr>
            <w:tcW w:type="dxa" w:w="1600"/>
            <w:shd w:fill="F4F9FD" w:val="clear"/>
          </w:tcPr>
          <w:p>
            <w:r>
              <w:rPr>
                <w:b w:val="false"/>
                <w:bCs w:val="false"/>
              </w:rPr>
              <w:t xml:space="preserve">100</w:t>
            </w:r>
          </w:p>
        </w:tc>
        <w:tc>
          <w:tcPr>
            <w:tcW w:type="dxa" w:w="1600"/>
            <w:shd w:fill="F4F9FD" w:val="clear"/>
          </w:tcPr>
          <w:p>
            <w:r>
              <w:rPr>
                <w:b w:val="false"/>
                <w:bCs w:val="false"/>
              </w:rPr>
              <w:t xml:space="preserve">96</w:t>
            </w:r>
          </w:p>
        </w:tc>
        <w:tc>
          <w:tcPr>
            <w:tcW w:type="dxa" w:w="1500"/>
            <w:shd w:fill="F4F9FD" w:val="clear"/>
          </w:tcPr>
          <w:p>
            <w:r>
              <w:rPr>
                <w:b w:val="false"/>
                <w:bCs w:val="false"/>
              </w:rPr>
              <w:t xml:space="preserve">63*</w:t>
            </w:r>
          </w:p>
        </w:tc>
      </w:tr>
    </w:tbl>
    <w:p>
      <w:pPr>
        <w:spacing w:after="100"/>
      </w:pPr>
    </w:p>
    <w:p>
      <w:pPr>
        <w:spacing w:after="140"/>
      </w:pPr>
      <w:r>
        <w:rPr>
          <w:i/>
          <w:iCs/>
          <w:color w:val="5B6B76"/>
          <w:sz w:val="20"/>
          <w:szCs w:val="20"/>
        </w:rPr>
        <w:t xml:space="preserve">* The portal login page's SEO score is intentionally reduced: it carries a noindex meta tag by design, since a login screen has no reason to appear in search results. Lighthouse flags any noindex page as "not crawlable," which is expected here, not a defect.</w:t>
      </w:r>
    </w:p>
    <w:p>
      <w:pPr>
        <w:spacing w:after="140"/>
      </w:pPr>
      <w:r>
        <w:t xml:space="preserve">Best Practices caps at 96/100 across the site for one reason: this sandbox's network allowlist blocks Google Fonts, so the audit records one blocked network request. Google Fonts is a normal, reliable resource in real-world deployment — this is an artifact of the closed test environment, not a defect in the delivered site. If this concerns you, self-hosting the two font files instead of loading them from Google is a low-effort follow-up (see Section 6.5).</w:t>
      </w:r>
    </w:p>
    <w:p>
      <w:pPr>
        <w:pStyle w:val="Heading1"/>
        <w:spacing w:after="160" w:before="320"/>
      </w:pPr>
      <w:r>
        <w:t xml:space="preserve">5. Security Test Results</w:t>
      </w:r>
    </w:p>
    <w:p>
      <w:pPr>
        <w:pStyle w:val="Heading2"/>
        <w:spacing w:after="120" w:before="260"/>
      </w:pPr>
      <w:r>
        <w:t xml:space="preserve">5.1 Data access architecture: Row-Level Security</w:t>
      </w:r>
    </w:p>
    <w:p>
      <w:pPr>
        <w:spacing w:after="140"/>
      </w:pPr>
      <w:r>
        <w:t xml:space="preserve">Every one of the 25 tables in the production Supabase project (public schema) has Row-Level Security enabled — verified directly against the live database, not assumed from documentation. There are no tables relying solely on "security by obscurity" or on the client withholding a secret key.</w:t>
      </w:r>
    </w:p>
    <w:p>
      <w:pPr>
        <w:spacing w:after="140"/>
      </w:pPr>
      <w:r>
        <w:t xml:space="preserve">The web portal deliberately uses the same public anon (publishable) key as the mobile app. This is correct, standard Supabase practice: the anon key is not a secret, and all real data protection comes from the RLS policies evaluated on every query, keyed off the authenticated user's auth.uid(). The portal's queries resolve a customer's own internal customer row via a helper equivalent to select id from public.customers where user_id = auth.uid(), then every dependent table (properties, site_visits, invoices, documents, etc.) filters on that customer_id — so a signed-in owner can only ever read or write rows belonging to their own account, enforced by Postgres itself, not by client-side logic.</w:t>
      </w:r>
    </w:p>
    <w:p>
      <w:pPr>
        <w:pStyle w:val="Heading2"/>
        <w:spacing w:after="120" w:before="260"/>
      </w:pPr>
      <w:r>
        <w:t xml:space="preserve">5.2 Authentication</w:t>
      </w:r>
    </w:p>
    <w:p>
      <w:pPr>
        <w:pStyle w:val="ListParagraph"/>
        <w:numPr>
          <w:ilvl w:val="0"/>
          <w:numId w:val="1"/>
        </w:numPr>
        <w:spacing w:after="80"/>
      </w:pPr>
      <w:r>
        <w:t xml:space="preserve">Email + password sign-in and registration: standard Supabase Auth, works out of the box.</w:t>
      </w:r>
    </w:p>
    <w:p>
      <w:pPr>
        <w:pStyle w:val="ListParagraph"/>
        <w:numPr>
          <w:ilvl w:val="0"/>
          <w:numId w:val="1"/>
        </w:numPr>
        <w:spacing w:after="80"/>
      </w:pPr>
      <w:r>
        <w:t xml:space="preserve">Email OTP registration flow (signInWithOtp / verifyOtp): implemented and functional; this is Supabase's own passwordless mechanism, not a custom one.</w:t>
      </w:r>
    </w:p>
    <w:p>
      <w:pPr>
        <w:pStyle w:val="ListParagraph"/>
        <w:numPr>
          <w:ilvl w:val="0"/>
          <w:numId w:val="1"/>
        </w:numPr>
        <w:spacing w:after="80"/>
      </w:pPr>
      <w:r>
        <w:t xml:space="preserve">Google OAuth: wired up on both the sign-in and register screens, but requires the Google provider to be enabled in the Supabase Dashboard's Auth settings before it will work in production — the portal shows a clear inline note about this rather than failing silently.</w:t>
      </w:r>
    </w:p>
    <w:p>
      <w:pPr>
        <w:pStyle w:val="ListParagraph"/>
        <w:numPr>
          <w:ilvl w:val="0"/>
          <w:numId w:val="1"/>
        </w:numPr>
        <w:spacing w:after="80"/>
      </w:pPr>
      <w:r>
        <w:t xml:space="preserve">Password fields use type="password" throughout (verified); no plaintext password ever appears in the DOM or in network payloads beyond the single HTTPS request to Supabase Auth's own endpoint.</w:t>
      </w:r>
    </w:p>
    <w:p>
      <w:pPr>
        <w:pStyle w:val="Heading2"/>
        <w:spacing w:after="120" w:before="260"/>
      </w:pPr>
      <w:r>
        <w:t xml:space="preserve">5.3 The public lead-capture form (website_leads)</w:t>
      </w:r>
    </w:p>
    <w:p>
      <w:pPr>
        <w:spacing w:after="140"/>
      </w:pPr>
      <w:r>
        <w:t xml:space="preserve">The contact form writes to a new website_leads table that intentionally accepts anonymous inserts — this is the correct pattern for a public contact form (nobody is logged in yet). The RLS policy only grants INSERT to anon/authenticated roles; SELECT, UPDATE, and DELETE are restricted to admin-level authenticated users via an is_admin_or_above() check. An anonymous visitor cannot read, modify, or delete any lead — including their own — once submitted, which is the correct posture for this kind of table.</w:t>
      </w:r>
    </w:p>
    <w:p>
      <w:pPr>
        <w:pStyle w:val="Heading2"/>
        <w:spacing w:after="120" w:before="260"/>
      </w:pPr>
      <w:r>
        <w:t xml:space="preserve">5.4 Storage bucket privacy</w:t>
      </w:r>
    </w:p>
    <w:p>
      <w:pPr>
        <w:spacing w:after="140"/>
      </w:pPr>
      <w:r>
        <w:t xml:space="preserve">Property photos, videos, documents, and reports live in private Supabase Storage buckets (not public buckets). Every download in the portal goes through a short-lived signed URL (createSignedUrl, 10-minute expiry) rather than a permanent public link. Storage RLS policies gate access by folder path — e.g. property images live under initial/{propertyId}/... and inspection/{siteVisitId}/..., and documents under {customerId}/{propertyId}/... — so the policy can verify the requesting user owns that customer/property before a signed URL is even issued.</w:t>
      </w:r>
    </w:p>
    <w:p>
      <w:pPr>
        <w:pStyle w:val="Heading2"/>
        <w:spacing w:after="120" w:before="260"/>
      </w:pPr>
      <w:r>
        <w:t xml:space="preserve">5.5 Why the embedded anon key is not a vulnerability</w:t>
      </w:r>
    </w:p>
    <w:p>
      <w:pPr>
        <w:spacing w:after="140"/>
      </w:pPr>
      <w:r>
        <w:t xml:space="preserve">A recurring but mistaken security concern with Supabase (and similar backend-as-a-service platforms) is that the anon key is visible in client-side JavaScript. It is meant to be: it identifies the project, not a user or a permission level. Every meaningful permission decision happens in Postgres via RLS, evaluated per-request against the caller's verified JWT. Removing or obfuscating the anon key would not add security and would only break the app.</w:t>
      </w:r>
    </w:p>
    <w:p>
      <w:pPr>
        <w:pStyle w:val="Heading2"/>
        <w:spacing w:after="120" w:before="260"/>
      </w:pPr>
      <w:r>
        <w:t xml:space="preserve">5.6 Supabase Advisor findings</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3200"/>
        <w:gridCol w:w="1300"/>
        <w:gridCol w:w="4800"/>
      </w:tblGrid>
      <w:tr>
        <w:trPr>
          <w:tblHeader/>
        </w:trPr>
        <w:tc>
          <w:tcPr>
            <w:tcW w:type="dxa" w:w="3200"/>
            <w:shd w:fill="0B3357" w:val="clear"/>
          </w:tcPr>
          <w:p>
            <w:r>
              <w:rPr>
                <w:b/>
                <w:bCs/>
                <w:color w:val="FFFFFF"/>
              </w:rPr>
              <w:t xml:space="preserve">Finding</w:t>
            </w:r>
          </w:p>
        </w:tc>
        <w:tc>
          <w:tcPr>
            <w:tcW w:type="dxa" w:w="1300"/>
            <w:shd w:fill="0B3357" w:val="clear"/>
          </w:tcPr>
          <w:p>
            <w:r>
              <w:rPr>
                <w:b/>
                <w:bCs/>
                <w:color w:val="FFFFFF"/>
              </w:rPr>
              <w:t xml:space="preserve">Level</w:t>
            </w:r>
          </w:p>
        </w:tc>
        <w:tc>
          <w:tcPr>
            <w:tcW w:type="dxa" w:w="4800"/>
            <w:shd w:fill="0B3357" w:val="clear"/>
          </w:tcPr>
          <w:p>
            <w:r>
              <w:rPr>
                <w:b/>
                <w:bCs/>
                <w:color w:val="FFFFFF"/>
              </w:rPr>
              <w:t xml:space="preserve">Assessment</w:t>
            </w:r>
          </w:p>
        </w:tc>
      </w:tr>
      <w:tr>
        <w:tc>
          <w:tcPr>
            <w:tcW w:type="dxa" w:w="3200"/>
          </w:tcPr>
          <w:p>
            <w:r>
              <w:rPr>
                <w:b w:val="false"/>
                <w:bCs w:val="false"/>
              </w:rPr>
              <w:t xml:space="preserve">Leaked password protection disabled</w:t>
            </w:r>
          </w:p>
        </w:tc>
        <w:tc>
          <w:tcPr>
            <w:tcW w:type="dxa" w:w="1300"/>
          </w:tcPr>
          <w:p>
            <w:r>
              <w:rPr>
                <w:b w:val="false"/>
                <w:bCs w:val="false"/>
              </w:rPr>
              <w:t xml:space="preserve">Warning</w:t>
            </w:r>
          </w:p>
        </w:tc>
        <w:tc>
          <w:tcPr>
            <w:tcW w:type="dxa" w:w="4800"/>
          </w:tcPr>
          <w:p>
            <w:r>
              <w:rPr>
                <w:b w:val="false"/>
                <w:bCs w:val="false"/>
              </w:rPr>
              <w:t xml:space="preserve">Supabase can check new passwords against the HaveIBeenPwned breach database at signup. It is currently off. Recommended: enable it in Supabase Dashboard → Authentication → Policies. Low effort, meaningful improvement.</w:t>
            </w:r>
          </w:p>
        </w:tc>
      </w:tr>
      <w:tr>
        <w:tc>
          <w:tcPr>
            <w:tcW w:type="dxa" w:w="3200"/>
            <w:shd w:fill="F4F9FD" w:val="clear"/>
          </w:tcPr>
          <w:p>
            <w:r>
              <w:rPr>
                <w:b w:val="false"/>
                <w:bCs w:val="false"/>
              </w:rPr>
              <w:t xml:space="preserve">76 SECURITY DEFINER functions flagged as "executable by anon/authenticated"</w:t>
            </w:r>
          </w:p>
        </w:tc>
        <w:tc>
          <w:tcPr>
            <w:tcW w:type="dxa" w:w="1300"/>
            <w:shd w:fill="F4F9FD" w:val="clear"/>
          </w:tcPr>
          <w:p>
            <w:r>
              <w:rPr>
                <w:b w:val="false"/>
                <w:bCs w:val="false"/>
              </w:rPr>
              <w:t xml:space="preserve">Warning (generic)</w:t>
            </w:r>
          </w:p>
        </w:tc>
        <w:tc>
          <w:tcPr>
            <w:tcW w:type="dxa" w:w="4800"/>
            <w:shd w:fill="F4F9FD" w:val="clear"/>
          </w:tcPr>
          <w:p>
            <w:r>
              <w:rPr>
                <w:b w:val="false"/>
                <w:bCs w:val="false"/>
              </w:rPr>
              <w:t xml:space="preserve">This is the linter's blanket warning for any SECURITY DEFINER function reachable by these roles — it cannot see whether the function's own body checks auth.uid()/role internally. The functions this project's client code actually calls (create_support_ticket, reply_support_ticket, customer_set_package_tier) were spot-checked and do perform an internal permission check before acting. Recommended as ongoing hygiene: a full manual read-through of all 76 flagged functions to confirm each one checks the caller's identity before making any change, since this is a blanket linter warning rather than a per-function proof.</w:t>
            </w:r>
          </w:p>
        </w:tc>
      </w:tr>
      <w:tr>
        <w:tc>
          <w:tcPr>
            <w:tcW w:type="dxa" w:w="3200"/>
          </w:tcPr>
          <w:p>
            <w:r>
              <w:rPr>
                <w:b w:val="false"/>
                <w:bCs w:val="false"/>
              </w:rPr>
              <w:t xml:space="preserve">phone_otp_requests: RLS enabled, zero policies</w:t>
            </w:r>
          </w:p>
        </w:tc>
        <w:tc>
          <w:tcPr>
            <w:tcW w:type="dxa" w:w="1300"/>
          </w:tcPr>
          <w:p>
            <w:r>
              <w:rPr>
                <w:b w:val="false"/>
                <w:bCs w:val="false"/>
              </w:rPr>
              <w:t xml:space="preserve">Info</w:t>
            </w:r>
          </w:p>
        </w:tc>
        <w:tc>
          <w:tcPr>
            <w:tcW w:type="dxa" w:w="4800"/>
          </w:tcPr>
          <w:p>
            <w:r>
              <w:rPr>
                <w:b w:val="false"/>
                <w:bCs w:val="false"/>
              </w:rPr>
              <w:t xml:space="preserve">This is not a gap — it is the strictest possible posture (default-deny). No client, anonymous or authenticated, can read or write this table directly; only a service-role process (e.g. an Edge Function) can. No action needed.</w:t>
            </w:r>
          </w:p>
        </w:tc>
      </w:tr>
    </w:tbl>
    <w:p>
      <w:pPr>
        <w:spacing w:after="160"/>
      </w:pPr>
    </w:p>
    <w:p>
      <w:pPr>
        <w:pStyle w:val="Heading2"/>
        <w:spacing w:after="120" w:before="260"/>
      </w:pPr>
      <w:r>
        <w:t xml:space="preserve">5.7 Web application security review</w:t>
      </w:r>
    </w:p>
    <w:p>
      <w:pPr>
        <w:pStyle w:val="ListParagraph"/>
        <w:numPr>
          <w:ilvl w:val="0"/>
          <w:numId w:val="1"/>
        </w:numPr>
        <w:spacing w:after="80"/>
      </w:pPr>
      <w:r>
        <w:t xml:space="preserve">Cross-site scripting (XSS): every place the owner dashboard injects user-controlled text into the DOM via innerHTML (property names, ticket subjects/descriptions, notification text, document titles, reply bodies) passes through a proper escapeHtml() helper that encodes &amp;, &lt;, &gt;, ", and ' — checked directly in the source, not assumed. This is the correct, standard mitigation for this pattern.</w:t>
      </w:r>
    </w:p>
    <w:p>
      <w:pPr>
        <w:pStyle w:val="ListParagraph"/>
        <w:numPr>
          <w:ilvl w:val="0"/>
          <w:numId w:val="1"/>
        </w:numPr>
        <w:spacing w:after="80"/>
      </w:pPr>
      <w:r>
        <w:t xml:space="preserve">Cross-site request forgery (CSRF): not applicable in the traditional sense — there are no server-rendered session cookies driving privileged actions; all writes go through Supabase's own JWT-bearer REST/RPC API, which is not vulnerable to classic CSRF.</w:t>
      </w:r>
    </w:p>
    <w:p>
      <w:pPr>
        <w:pStyle w:val="ListParagraph"/>
        <w:numPr>
          <w:ilvl w:val="0"/>
          <w:numId w:val="1"/>
        </w:numPr>
        <w:spacing w:after="80"/>
      </w:pPr>
      <w:r>
        <w:t xml:space="preserve">Secrets in client code: the only credential embedded in the site is the intentionally-public Supabase anon key (see 5.5). No service-role key, database password, or other secret was found anywhere in the delivered code.</w:t>
      </w:r>
    </w:p>
    <w:p>
      <w:pPr>
        <w:pStyle w:val="ListParagraph"/>
        <w:numPr>
          <w:ilvl w:val="0"/>
          <w:numId w:val="1"/>
        </w:numPr>
        <w:spacing w:after="80"/>
      </w:pPr>
      <w:r>
        <w:t xml:space="preserve">Transport security: the site is designed to be served over HTTPS at nripropertyguard.in; all Supabase API calls already go over HTTPS regardless of how the site itself is served.</w:t>
      </w:r>
    </w:p>
    <w:p>
      <w:pPr>
        <w:pStyle w:val="ListParagraph"/>
        <w:numPr>
          <w:ilvl w:val="0"/>
          <w:numId w:val="1"/>
        </w:numPr>
        <w:spacing w:after="80"/>
      </w:pPr>
      <w:r>
        <w:t xml:space="preserve">Dependency footprint: the only third-party script is the Supabase JS SDK, self-hosted (see Section 6.3) rather than pulled from a CDN at request time, which also removes a class of supply-chain risk.</w:t>
      </w:r>
    </w:p>
    <w:p>
      <w:pPr>
        <w:pStyle w:val="Heading2"/>
        <w:spacing w:after="120" w:before="260"/>
      </w:pPr>
      <w:r>
        <w:t xml:space="preserve">5.8 Recommendations, ranked</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1700"/>
        <w:gridCol w:w="7600"/>
      </w:tblGrid>
      <w:tr>
        <w:trPr>
          <w:tblHeader/>
        </w:trPr>
        <w:tc>
          <w:tcPr>
            <w:tcW w:type="dxa" w:w="1700"/>
            <w:shd w:fill="0B3357" w:val="clear"/>
          </w:tcPr>
          <w:p>
            <w:r>
              <w:rPr>
                <w:b/>
                <w:bCs/>
                <w:color w:val="FFFFFF"/>
              </w:rPr>
              <w:t xml:space="preserve">Priority</w:t>
            </w:r>
          </w:p>
        </w:tc>
        <w:tc>
          <w:tcPr>
            <w:tcW w:type="dxa" w:w="7600"/>
            <w:shd w:fill="0B3357" w:val="clear"/>
          </w:tcPr>
          <w:p>
            <w:r>
              <w:rPr>
                <w:b/>
                <w:bCs/>
                <w:color w:val="FFFFFF"/>
              </w:rPr>
              <w:t xml:space="preserve">Recommendation</w:t>
            </w:r>
          </w:p>
        </w:tc>
      </w:tr>
      <w:tr>
        <w:tc>
          <w:tcPr>
            <w:tcW w:type="dxa" w:w="1700"/>
          </w:tcPr>
          <w:p>
            <w:r>
              <w:rPr>
                <w:b w:val="false"/>
                <w:bCs w:val="false"/>
              </w:rPr>
              <w:t xml:space="preserve">Do soon</w:t>
            </w:r>
          </w:p>
        </w:tc>
        <w:tc>
          <w:tcPr>
            <w:tcW w:type="dxa" w:w="7600"/>
          </w:tcPr>
          <w:p>
            <w:r>
              <w:rPr>
                <w:b w:val="false"/>
                <w:bCs w:val="false"/>
              </w:rPr>
              <w:t xml:space="preserve">Enable leaked-password protection in the Supabase Auth settings (Section 5.6).</w:t>
            </w:r>
          </w:p>
        </w:tc>
      </w:tr>
      <w:tr>
        <w:tc>
          <w:tcPr>
            <w:tcW w:type="dxa" w:w="1700"/>
            <w:shd w:fill="F4F9FD" w:val="clear"/>
          </w:tcPr>
          <w:p>
            <w:r>
              <w:rPr>
                <w:b w:val="false"/>
                <w:bCs w:val="false"/>
              </w:rPr>
              <w:t xml:space="preserve">Do soon</w:t>
            </w:r>
          </w:p>
        </w:tc>
        <w:tc>
          <w:tcPr>
            <w:tcW w:type="dxa" w:w="7600"/>
            <w:shd w:fill="F4F9FD" w:val="clear"/>
          </w:tcPr>
          <w:p>
            <w:r>
              <w:rPr>
                <w:b w:val="false"/>
                <w:bCs w:val="false"/>
              </w:rPr>
              <w:t xml:space="preserve">Complete a full manual read-through of the 76 SECURITY DEFINER functions to confirm each checks the caller's identity (Section 5.6).</w:t>
            </w:r>
          </w:p>
        </w:tc>
      </w:tr>
      <w:tr>
        <w:tc>
          <w:tcPr>
            <w:tcW w:type="dxa" w:w="1700"/>
          </w:tcPr>
          <w:p>
            <w:r>
              <w:rPr>
                <w:b w:val="false"/>
                <w:bCs w:val="false"/>
              </w:rPr>
              <w:t xml:space="preserve">When convenient</w:t>
            </w:r>
          </w:p>
        </w:tc>
        <w:tc>
          <w:tcPr>
            <w:tcW w:type="dxa" w:w="7600"/>
          </w:tcPr>
          <w:p>
            <w:r>
              <w:rPr>
                <w:b w:val="false"/>
                <w:bCs w:val="false"/>
              </w:rPr>
              <w:t xml:space="preserve">Enable the Google OAuth provider in Supabase if you want "Continue with Google" to work end-to-end on the website (Section 5.2).</w:t>
            </w:r>
          </w:p>
        </w:tc>
      </w:tr>
      <w:tr>
        <w:tc>
          <w:tcPr>
            <w:tcW w:type="dxa" w:w="1700"/>
            <w:shd w:fill="F4F9FD" w:val="clear"/>
          </w:tcPr>
          <w:p>
            <w:r>
              <w:rPr>
                <w:b w:val="false"/>
                <w:bCs w:val="false"/>
              </w:rPr>
              <w:t xml:space="preserve">When convenient</w:t>
            </w:r>
          </w:p>
        </w:tc>
        <w:tc>
          <w:tcPr>
            <w:tcW w:type="dxa" w:w="7600"/>
            <w:shd w:fill="F4F9FD" w:val="clear"/>
          </w:tcPr>
          <w:p>
            <w:r>
              <w:rPr>
                <w:b w:val="false"/>
                <w:bCs w:val="false"/>
              </w:rPr>
              <w:t xml:space="preserve">Consider adding rate-limiting or a lightweight CAPTCHA to the public website_leads insert policy if spam submissions become an issue — not needed today, but worth watching once the site is live.</w:t>
            </w:r>
          </w:p>
        </w:tc>
      </w:tr>
    </w:tbl>
    <w:p>
      <w:pPr>
        <w:pStyle w:val="Heading1"/>
        <w:spacing w:after="160" w:before="320"/>
      </w:pPr>
      <w:r>
        <w:t xml:space="preserve">6. Performance Test Results</w:t>
      </w:r>
    </w:p>
    <w:p>
      <w:pPr>
        <w:pStyle w:val="Heading2"/>
        <w:spacing w:after="120" w:before="260"/>
      </w:pPr>
      <w:r>
        <w:t xml:space="preserve">6.1 Lighthouse performance scores</w:t>
      </w:r>
    </w:p>
    <w:p>
      <w:pPr>
        <w:spacing w:after="140"/>
      </w:pPr>
      <w:r>
        <w:t xml:space="preserve">See the combined table in Section 4 for per-page Performance scores (94–100 across all 10 pages). All pages load with zero cumulative layout shift (CLS 0) and zero total blocking time (TBT 0ms) — the site never blocks the main thread noticeably during load. These marketing-page scores were already good before Section 3.11's performance pass and are unchanged by it; the real problem that pass found and fixed — the dashboard's repeated thumbnail re-download bug — happens on an authenticated dashboard over time, which a single-page-load Lighthouse audit of a logged-out marketing page cannot observe. See Section 3.11 for the fix and why it isn't visible in the numbers below.</w:t>
      </w:r>
    </w:p>
    <w:p>
      <w:pPr>
        <w:pStyle w:val="Heading2"/>
        <w:spacing w:after="120" w:before="260"/>
      </w:pPr>
      <w:r>
        <w:t xml:space="preserve">6.2 Core Web Vitals (homepage, representative)</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4200"/>
        <w:gridCol w:w="1900"/>
        <w:gridCol w:w="3200"/>
      </w:tblGrid>
      <w:tr>
        <w:trPr>
          <w:tblHeader/>
        </w:trPr>
        <w:tc>
          <w:tcPr>
            <w:tcW w:type="dxa" w:w="4200"/>
            <w:shd w:fill="0B3357" w:val="clear"/>
          </w:tcPr>
          <w:p>
            <w:r>
              <w:rPr>
                <w:b/>
                <w:bCs/>
                <w:color w:val="FFFFFF"/>
              </w:rPr>
              <w:t xml:space="preserve">Metric</w:t>
            </w:r>
          </w:p>
        </w:tc>
        <w:tc>
          <w:tcPr>
            <w:tcW w:type="dxa" w:w="1900"/>
            <w:shd w:fill="0B3357" w:val="clear"/>
          </w:tcPr>
          <w:p>
            <w:r>
              <w:rPr>
                <w:b/>
                <w:bCs/>
                <w:color w:val="FFFFFF"/>
              </w:rPr>
              <w:t xml:space="preserve">Value</w:t>
            </w:r>
          </w:p>
        </w:tc>
        <w:tc>
          <w:tcPr>
            <w:tcW w:type="dxa" w:w="3200"/>
            <w:shd w:fill="0B3357" w:val="clear"/>
          </w:tcPr>
          <w:p>
            <w:r>
              <w:rPr>
                <w:b/>
                <w:bCs/>
                <w:color w:val="FFFFFF"/>
              </w:rPr>
              <w:t xml:space="preserve">Assessment</w:t>
            </w:r>
          </w:p>
        </w:tc>
      </w:tr>
      <w:tr>
        <w:tc>
          <w:tcPr>
            <w:tcW w:type="dxa" w:w="4200"/>
          </w:tcPr>
          <w:p>
            <w:r>
              <w:rPr>
                <w:b w:val="false"/>
                <w:bCs w:val="false"/>
              </w:rPr>
              <w:t xml:space="preserve">Largest Contentful Paint (LCP)</w:t>
            </w:r>
          </w:p>
        </w:tc>
        <w:tc>
          <w:tcPr>
            <w:tcW w:type="dxa" w:w="1900"/>
          </w:tcPr>
          <w:p>
            <w:r>
              <w:rPr>
                <w:b w:val="false"/>
                <w:bCs w:val="false"/>
              </w:rPr>
              <w:t xml:space="preserve">1.5s</w:t>
            </w:r>
          </w:p>
        </w:tc>
        <w:tc>
          <w:tcPr>
            <w:tcW w:type="dxa" w:w="3200"/>
          </w:tcPr>
          <w:p>
            <w:r>
              <w:rPr>
                <w:b w:val="false"/>
                <w:bCs w:val="false"/>
              </w:rPr>
              <w:t xml:space="preserve">Good (target &lt; 2.5s)</w:t>
            </w:r>
          </w:p>
        </w:tc>
      </w:tr>
      <w:tr>
        <w:tc>
          <w:tcPr>
            <w:tcW w:type="dxa" w:w="4200"/>
            <w:shd w:fill="F4F9FD" w:val="clear"/>
          </w:tcPr>
          <w:p>
            <w:r>
              <w:rPr>
                <w:b w:val="false"/>
                <w:bCs w:val="false"/>
              </w:rPr>
              <w:t xml:space="preserve">Speed Index</w:t>
            </w:r>
          </w:p>
        </w:tc>
        <w:tc>
          <w:tcPr>
            <w:tcW w:type="dxa" w:w="1900"/>
            <w:shd w:fill="F4F9FD" w:val="clear"/>
          </w:tcPr>
          <w:p>
            <w:r>
              <w:rPr>
                <w:b w:val="false"/>
                <w:bCs w:val="false"/>
              </w:rPr>
              <w:t xml:space="preserve">3.9s</w:t>
            </w:r>
          </w:p>
        </w:tc>
        <w:tc>
          <w:tcPr>
            <w:tcW w:type="dxa" w:w="3200"/>
            <w:shd w:fill="F4F9FD" w:val="clear"/>
          </w:tcPr>
          <w:p>
            <w:r>
              <w:rPr>
                <w:b w:val="false"/>
                <w:bCs w:val="false"/>
              </w:rPr>
              <w:t xml:space="preserve">Acceptable</w:t>
            </w:r>
          </w:p>
        </w:tc>
      </w:tr>
      <w:tr>
        <w:tc>
          <w:tcPr>
            <w:tcW w:type="dxa" w:w="4200"/>
          </w:tcPr>
          <w:p>
            <w:r>
              <w:rPr>
                <w:b w:val="false"/>
                <w:bCs w:val="false"/>
              </w:rPr>
              <w:t xml:space="preserve">Total Blocking Time (TBT)</w:t>
            </w:r>
          </w:p>
        </w:tc>
        <w:tc>
          <w:tcPr>
            <w:tcW w:type="dxa" w:w="1900"/>
          </w:tcPr>
          <w:p>
            <w:r>
              <w:rPr>
                <w:b w:val="false"/>
                <w:bCs w:val="false"/>
              </w:rPr>
              <w:t xml:space="preserve">0ms</w:t>
            </w:r>
          </w:p>
        </w:tc>
        <w:tc>
          <w:tcPr>
            <w:tcW w:type="dxa" w:w="3200"/>
          </w:tcPr>
          <w:p>
            <w:r>
              <w:rPr>
                <w:b w:val="false"/>
                <w:bCs w:val="false"/>
              </w:rPr>
              <w:t xml:space="preserve">Excellent (target &lt; 200ms)</w:t>
            </w:r>
          </w:p>
        </w:tc>
      </w:tr>
      <w:tr>
        <w:tc>
          <w:tcPr>
            <w:tcW w:type="dxa" w:w="4200"/>
            <w:shd w:fill="F4F9FD" w:val="clear"/>
          </w:tcPr>
          <w:p>
            <w:r>
              <w:rPr>
                <w:b w:val="false"/>
                <w:bCs w:val="false"/>
              </w:rPr>
              <w:t xml:space="preserve">Cumulative Layout Shift (CLS)</w:t>
            </w:r>
          </w:p>
        </w:tc>
        <w:tc>
          <w:tcPr>
            <w:tcW w:type="dxa" w:w="1900"/>
            <w:shd w:fill="F4F9FD" w:val="clear"/>
          </w:tcPr>
          <w:p>
            <w:r>
              <w:rPr>
                <w:b w:val="false"/>
                <w:bCs w:val="false"/>
              </w:rPr>
              <w:t xml:space="preserve">0</w:t>
            </w:r>
          </w:p>
        </w:tc>
        <w:tc>
          <w:tcPr>
            <w:tcW w:type="dxa" w:w="3200"/>
            <w:shd w:fill="F4F9FD" w:val="clear"/>
          </w:tcPr>
          <w:p>
            <w:r>
              <w:rPr>
                <w:b w:val="false"/>
                <w:bCs w:val="false"/>
              </w:rPr>
              <w:t xml:space="preserve">Excellent (target &lt; 0.1)</w:t>
            </w:r>
          </w:p>
        </w:tc>
      </w:tr>
      <w:tr>
        <w:tc>
          <w:tcPr>
            <w:tcW w:type="dxa" w:w="4200"/>
          </w:tcPr>
          <w:p>
            <w:r>
              <w:rPr>
                <w:b w:val="false"/>
                <w:bCs w:val="false"/>
              </w:rPr>
              <w:t xml:space="preserve">Time to Interactive (TTI)</w:t>
            </w:r>
          </w:p>
        </w:tc>
        <w:tc>
          <w:tcPr>
            <w:tcW w:type="dxa" w:w="1900"/>
          </w:tcPr>
          <w:p>
            <w:r>
              <w:rPr>
                <w:b w:val="false"/>
                <w:bCs w:val="false"/>
              </w:rPr>
              <w:t xml:space="preserve">1.5s</w:t>
            </w:r>
          </w:p>
        </w:tc>
        <w:tc>
          <w:tcPr>
            <w:tcW w:type="dxa" w:w="3200"/>
          </w:tcPr>
          <w:p>
            <w:r>
              <w:rPr>
                <w:b w:val="false"/>
                <w:bCs w:val="false"/>
              </w:rPr>
              <w:t xml:space="preserve">Good</w:t>
            </w:r>
          </w:p>
        </w:tc>
      </w:tr>
    </w:tbl>
    <w:p>
      <w:pPr>
        <w:spacing w:after="160"/>
      </w:pPr>
    </w:p>
    <w:p>
      <w:pPr>
        <w:pStyle w:val="Heading2"/>
        <w:spacing w:after="120" w:before="260"/>
      </w:pPr>
      <w:r>
        <w:t xml:space="preserve">6.3 Architectural decisions that affect performance</w:t>
      </w:r>
    </w:p>
    <w:p>
      <w:pPr>
        <w:pStyle w:val="ListParagraph"/>
        <w:numPr>
          <w:ilvl w:val="0"/>
          <w:numId w:val="1"/>
        </w:numPr>
        <w:spacing w:after="80"/>
      </w:pPr>
      <w:r>
        <w:t xml:space="preserve">The site is fully static HTML/CSS/JS with no server-side rendering step, which is why it loads and becomes interactive quickly and is deployable as-is on standard shared/cPanel hosting.</w:t>
      </w:r>
    </w:p>
    <w:p>
      <w:pPr>
        <w:pStyle w:val="ListParagraph"/>
        <w:numPr>
          <w:ilvl w:val="0"/>
          <w:numId w:val="1"/>
        </w:numPr>
        <w:spacing w:after="80"/>
      </w:pPr>
      <w:r>
        <w:t xml:space="preserve">The Supabase JS client library is self-hosted rather than loaded from a public CDN at request time. Beyond fixing a network restriction specific to the build sandbox, this removes a third-party request from the critical path and one external point of failure from every page load.</w:t>
      </w:r>
    </w:p>
    <w:p>
      <w:pPr>
        <w:pStyle w:val="ListParagraph"/>
        <w:numPr>
          <w:ilvl w:val="0"/>
          <w:numId w:val="1"/>
        </w:numPr>
        <w:spacing w:after="80"/>
      </w:pPr>
      <w:r>
        <w:t xml:space="preserve">Google Fonts are still loaded from Google's CDN (two font families). This is the one remaining external dependency on every page; see the recommendation below.</w:t>
      </w:r>
    </w:p>
    <w:p>
      <w:pPr>
        <w:pStyle w:val="Heading2"/>
        <w:spacing w:after="120" w:before="260"/>
      </w:pPr>
      <w:r>
        <w:t xml:space="preserve">6.4 Database performance advisories (Supabase)</w:t>
      </w:r>
    </w:p>
    <w:p>
      <w:pPr>
        <w:spacing w:after="140"/>
      </w:pPr>
      <w:r>
        <w:t xml:space="preserve">These are informational/optimization findings from Supabase's own performance linter, not correctness bugs — nothing here affects the app's current behavior at present data volumes.</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200"/>
        <w:gridCol w:w="2900"/>
        <w:gridCol w:w="4200"/>
      </w:tblGrid>
      <w:tr>
        <w:trPr>
          <w:tblHeader/>
        </w:trPr>
        <w:tc>
          <w:tcPr>
            <w:tcW w:type="dxa" w:w="2200"/>
            <w:shd w:fill="0B3357" w:val="clear"/>
          </w:tcPr>
          <w:p>
            <w:r>
              <w:rPr>
                <w:b/>
                <w:bCs/>
                <w:color w:val="FFFFFF"/>
              </w:rPr>
              <w:t xml:space="preserve">Finding</w:t>
            </w:r>
          </w:p>
        </w:tc>
        <w:tc>
          <w:tcPr>
            <w:tcW w:type="dxa" w:w="2900"/>
            <w:shd w:fill="0B3357" w:val="clear"/>
          </w:tcPr>
          <w:p>
            <w:r>
              <w:rPr>
                <w:b/>
                <w:bCs/>
                <w:color w:val="FFFFFF"/>
              </w:rPr>
              <w:t xml:space="preserve">Scope</w:t>
            </w:r>
          </w:p>
        </w:tc>
        <w:tc>
          <w:tcPr>
            <w:tcW w:type="dxa" w:w="4200"/>
            <w:shd w:fill="0B3357" w:val="clear"/>
          </w:tcPr>
          <w:p>
            <w:r>
              <w:rPr>
                <w:b/>
                <w:bCs/>
                <w:color w:val="FFFFFF"/>
              </w:rPr>
              <w:t xml:space="preserve">Note</w:t>
            </w:r>
          </w:p>
        </w:tc>
      </w:tr>
      <w:tr>
        <w:tc>
          <w:tcPr>
            <w:tcW w:type="dxa" w:w="2200"/>
          </w:tcPr>
          <w:p>
            <w:r>
              <w:rPr>
                <w:b w:val="false"/>
                <w:bCs w:val="false"/>
              </w:rPr>
              <w:t xml:space="preserve">Unindexed foreign keys</w:t>
            </w:r>
          </w:p>
        </w:tc>
        <w:tc>
          <w:tcPr>
            <w:tcW w:type="dxa" w:w="2900"/>
          </w:tcPr>
          <w:p>
            <w:r>
              <w:rPr>
                <w:b w:val="false"/>
                <w:bCs w:val="false"/>
              </w:rPr>
              <w:t xml:space="preserve">20 occurrences across 12 tables (documents, invoices, manager_reviews, properties, and others)</w:t>
            </w:r>
          </w:p>
        </w:tc>
        <w:tc>
          <w:tcPr>
            <w:tcW w:type="dxa" w:w="4200"/>
          </w:tcPr>
          <w:p>
            <w:r>
              <w:rPr>
                <w:b w:val="false"/>
                <w:bCs w:val="false"/>
              </w:rPr>
              <w:t xml:space="preserve">Adding covering indexes on these foreign key columns will keep joins fast as data volume grows. Worth doing before the customer/property count gets large; not urgent today.</w:t>
            </w:r>
          </w:p>
        </w:tc>
      </w:tr>
      <w:tr>
        <w:tc>
          <w:tcPr>
            <w:tcW w:type="dxa" w:w="2200"/>
            <w:shd w:fill="F4F9FD" w:val="clear"/>
          </w:tcPr>
          <w:p>
            <w:r>
              <w:rPr>
                <w:b w:val="false"/>
                <w:bCs w:val="false"/>
              </w:rPr>
              <w:t xml:space="preserve">auth_rls_initplan</w:t>
            </w:r>
          </w:p>
        </w:tc>
        <w:tc>
          <w:tcPr>
            <w:tcW w:type="dxa" w:w="2900"/>
            <w:shd w:fill="F4F9FD" w:val="clear"/>
          </w:tcPr>
          <w:p>
            <w:r>
              <w:rPr>
                <w:b w:val="false"/>
                <w:bCs w:val="false"/>
              </w:rPr>
              <w:t xml:space="preserve">15 occurrences across 8 tables (activity_logs, customers, documents, notifications, and others)</w:t>
            </w:r>
          </w:p>
        </w:tc>
        <w:tc>
          <w:tcPr>
            <w:tcW w:type="dxa" w:w="4200"/>
            <w:shd w:fill="F4F9FD" w:val="clear"/>
          </w:tcPr>
          <w:p>
            <w:r>
              <w:rPr>
                <w:b w:val="false"/>
                <w:bCs w:val="false"/>
              </w:rPr>
              <w:t xml:space="preserve">A known Postgres/RLS pattern where re-wrapping auth.uid() calls in RLS policies as (select auth.uid()) lets Postgres cache the value per-statement instead of per-row, improving query planning at scale.</w:t>
            </w:r>
          </w:p>
        </w:tc>
      </w:tr>
      <w:tr>
        <w:tc>
          <w:tcPr>
            <w:tcW w:type="dxa" w:w="2200"/>
          </w:tcPr>
          <w:p>
            <w:r>
              <w:rPr>
                <w:b w:val="false"/>
                <w:bCs w:val="false"/>
              </w:rPr>
              <w:t xml:space="preserve">multiple_permissive_policies</w:t>
            </w:r>
          </w:p>
        </w:tc>
        <w:tc>
          <w:tcPr>
            <w:tcW w:type="dxa" w:w="2900"/>
          </w:tcPr>
          <w:p>
            <w:r>
              <w:rPr>
                <w:b w:val="false"/>
                <w:bCs w:val="false"/>
              </w:rPr>
              <w:t xml:space="preserve">24 occurrences across 4 tables (invoices, property_executives, property_managers, roles)</w:t>
            </w:r>
          </w:p>
        </w:tc>
        <w:tc>
          <w:tcPr>
            <w:tcW w:type="dxa" w:w="4200"/>
          </w:tcPr>
          <w:p>
            <w:r>
              <w:rPr>
                <w:b w:val="false"/>
                <w:bCs w:val="false"/>
              </w:rPr>
              <w:t xml:space="preserve">Multiple permissive RLS policies on the same table/action are evaluated as OR'd together, which is correct behavior but costs a small amount of extra planning work per query. Consolidating them where the logic allows is a minor optimization.</w:t>
            </w:r>
          </w:p>
        </w:tc>
      </w:tr>
      <w:tr>
        <w:tc>
          <w:tcPr>
            <w:tcW w:type="dxa" w:w="2200"/>
            <w:shd w:fill="F4F9FD" w:val="clear"/>
          </w:tcPr>
          <w:p>
            <w:r>
              <w:rPr>
                <w:b w:val="false"/>
                <w:bCs w:val="false"/>
              </w:rPr>
              <w:t xml:space="preserve">unused_index</w:t>
            </w:r>
          </w:p>
        </w:tc>
        <w:tc>
          <w:tcPr>
            <w:tcW w:type="dxa" w:w="2900"/>
            <w:shd w:fill="F4F9FD" w:val="clear"/>
          </w:tcPr>
          <w:p>
            <w:r>
              <w:rPr>
                <w:b w:val="false"/>
                <w:bCs w:val="false"/>
              </w:rPr>
              <w:t xml:space="preserve">7 occurrences across 5 tables, including the brand-new website_leads table</w:t>
            </w:r>
          </w:p>
        </w:tc>
        <w:tc>
          <w:tcPr>
            <w:tcW w:type="dxa" w:w="4200"/>
            <w:shd w:fill="F4F9FD" w:val="clear"/>
          </w:tcPr>
          <w:p>
            <w:r>
              <w:rPr>
                <w:b w:val="false"/>
                <w:bCs w:val="false"/>
              </w:rPr>
              <w:t xml:space="preserve">Expected for website_leads specifically — it was created during this engagement and has no query history yet. Worth revisiting after the site has been live for a few weeks; an index still unused at that point is a real candidate for removal.</w:t>
            </w:r>
          </w:p>
        </w:tc>
      </w:tr>
    </w:tbl>
    <w:p>
      <w:pPr>
        <w:spacing w:after="160"/>
      </w:pPr>
    </w:p>
    <w:p>
      <w:pPr>
        <w:pStyle w:val="Heading2"/>
        <w:spacing w:after="120" w:before="260"/>
      </w:pPr>
      <w:r>
        <w:t xml:space="preserve">6.5 Recommendations, ranked</w:t>
      </w:r>
    </w:p>
    <w:tbl>
      <w:tblPr>
        <w:tblW w:type="dxa" w:w="9300"/>
        <w:tblBorders>
          <w:top w:val="single" w:color="auto" w:sz="4"/>
          <w:left w:val="single" w:color="auto" w:sz="4"/>
          <w:bottom w:val="single" w:color="auto" w:sz="4"/>
          <w:right w:val="single" w:color="auto" w:sz="4"/>
          <w:insideH w:val="single" w:color="auto" w:sz="4"/>
          <w:insideV w:val="single" w:color="auto" w:sz="4"/>
        </w:tblBorders>
      </w:tblPr>
      <w:tblGrid>
        <w:gridCol w:w="2300"/>
        <w:gridCol w:w="7000"/>
      </w:tblGrid>
      <w:tr>
        <w:trPr>
          <w:tblHeader/>
        </w:trPr>
        <w:tc>
          <w:tcPr>
            <w:tcW w:type="dxa" w:w="2300"/>
            <w:shd w:fill="0B3357" w:val="clear"/>
          </w:tcPr>
          <w:p>
            <w:r>
              <w:rPr>
                <w:b/>
                <w:bCs/>
                <w:color w:val="FFFFFF"/>
              </w:rPr>
              <w:t xml:space="preserve">Priority</w:t>
            </w:r>
          </w:p>
        </w:tc>
        <w:tc>
          <w:tcPr>
            <w:tcW w:type="dxa" w:w="7000"/>
            <w:shd w:fill="0B3357" w:val="clear"/>
          </w:tcPr>
          <w:p>
            <w:r>
              <w:rPr>
                <w:b/>
                <w:bCs/>
                <w:color w:val="FFFFFF"/>
              </w:rPr>
              <w:t xml:space="preserve">Recommendation</w:t>
            </w:r>
          </w:p>
        </w:tc>
      </w:tr>
      <w:tr>
        <w:tc>
          <w:tcPr>
            <w:tcW w:type="dxa" w:w="2300"/>
          </w:tcPr>
          <w:p>
            <w:r>
              <w:rPr>
                <w:b w:val="false"/>
                <w:bCs w:val="false"/>
              </w:rPr>
              <w:t xml:space="preserve">Done (Section 3.11)</w:t>
            </w:r>
          </w:p>
        </w:tc>
        <w:tc>
          <w:tcPr>
            <w:tcW w:type="dxa" w:w="7000"/>
          </w:tcPr>
          <w:p>
            <w:r>
              <w:rPr>
                <w:b w:val="false"/>
                <w:bCs w:val="false"/>
              </w:rPr>
              <w:t xml:space="preserve">Fixed a real bug where every property thumbnail was re-signed and re-downloaded roughly every 30 seconds regardless of which dashboard tab was open; added lazy-loading on thumbnails, made the WhatsApp widget's pulse animation finite instead of infinite, and added a .htaccess enabling compression and browser caching on the live host.</w:t>
            </w:r>
          </w:p>
        </w:tc>
      </w:tr>
      <w:tr>
        <w:tc>
          <w:tcPr>
            <w:tcW w:type="dxa" w:w="2300"/>
            <w:shd w:fill="F4F9FD" w:val="clear"/>
          </w:tcPr>
          <w:p>
            <w:r>
              <w:rPr>
                <w:b w:val="false"/>
                <w:bCs w:val="false"/>
              </w:rPr>
              <w:t xml:space="preserve">Still blocked in this sandbox</w:t>
            </w:r>
          </w:p>
        </w:tc>
        <w:tc>
          <w:tcPr>
            <w:tcW w:type="dxa" w:w="7000"/>
            <w:shd w:fill="F4F9FD" w:val="clear"/>
          </w:tcPr>
          <w:p>
            <w:r>
              <w:rPr>
                <w:b w:val="false"/>
                <w:bCs w:val="false"/>
              </w:rPr>
              <w:t xml:space="preserve">Self-host the two Google Fonts font files the same way the Supabase JS SDK was self-hosted, to remove the last external request from the critical rendering path — attempted again in Section 3.11, still refused by this build sandbox's network egress rules (Section 7).</w:t>
            </w:r>
          </w:p>
        </w:tc>
      </w:tr>
      <w:tr>
        <w:tc>
          <w:tcPr>
            <w:tcW w:type="dxa" w:w="2300"/>
          </w:tcPr>
          <w:p>
            <w:r>
              <w:rPr>
                <w:b w:val="false"/>
                <w:bCs w:val="false"/>
              </w:rPr>
              <w:t xml:space="preserve">When convenient</w:t>
            </w:r>
          </w:p>
        </w:tc>
        <w:tc>
          <w:tcPr>
            <w:tcW w:type="dxa" w:w="7000"/>
          </w:tcPr>
          <w:p>
            <w:r>
              <w:rPr>
                <w:b w:val="false"/>
                <w:bCs w:val="false"/>
              </w:rPr>
              <w:t xml:space="preserve">Add covering indexes for the 12 tables' unindexed foreign keys before customer/property volume grows significantly.</w:t>
            </w:r>
          </w:p>
        </w:tc>
      </w:tr>
      <w:tr>
        <w:tc>
          <w:tcPr>
            <w:tcW w:type="dxa" w:w="2300"/>
            <w:shd w:fill="F4F9FD" w:val="clear"/>
          </w:tcPr>
          <w:p>
            <w:r>
              <w:rPr>
                <w:b w:val="false"/>
                <w:bCs w:val="false"/>
              </w:rPr>
              <w:t xml:space="preserve">Low priority</w:t>
            </w:r>
          </w:p>
        </w:tc>
        <w:tc>
          <w:tcPr>
            <w:tcW w:type="dxa" w:w="7000"/>
            <w:shd w:fill="F4F9FD" w:val="clear"/>
          </w:tcPr>
          <w:p>
            <w:r>
              <w:rPr>
                <w:b w:val="false"/>
                <w:bCs w:val="false"/>
              </w:rPr>
              <w:t xml:space="preserve">Apply the (select auth.uid()) RLS pattern to the 8 flagged tables for better query-planning at scale.</w:t>
            </w:r>
          </w:p>
        </w:tc>
      </w:tr>
      <w:tr>
        <w:tc>
          <w:tcPr>
            <w:tcW w:type="dxa" w:w="2300"/>
          </w:tcPr>
          <w:p>
            <w:r>
              <w:rPr>
                <w:b w:val="false"/>
                <w:bCs w:val="false"/>
              </w:rPr>
              <w:t xml:space="preserve">Low priority</w:t>
            </w:r>
          </w:p>
        </w:tc>
        <w:tc>
          <w:tcPr>
            <w:tcW w:type="dxa" w:w="7000"/>
          </w:tcPr>
          <w:p>
            <w:r>
              <w:rPr>
                <w:b w:val="false"/>
                <w:bCs w:val="false"/>
              </w:rPr>
              <w:t xml:space="preserve">Revisit the unused-index list after the site has real production traffic for a few weeks.</w:t>
            </w:r>
          </w:p>
        </w:tc>
      </w:tr>
    </w:tbl>
    <w:p>
      <w:pPr>
        <w:pStyle w:val="Heading1"/>
        <w:spacing w:after="160" w:before="320"/>
      </w:pPr>
      <w:r>
        <w:t xml:space="preserve">7. Known Environment Limitations</w:t>
      </w:r>
    </w:p>
    <w:p>
      <w:pPr>
        <w:pStyle w:val="ListParagraph"/>
        <w:numPr>
          <w:ilvl w:val="0"/>
          <w:numId w:val="1"/>
        </w:numPr>
        <w:spacing w:after="80"/>
      </w:pPr>
      <w:r>
        <w:t xml:space="preserve">Selenium could not be executed live in the build sandbox due to a chromedriver/Chromium version mismatch and a network restriction on downloading a matching driver — see Section 2.2. The delivered Selenium suite is complete, runnable code; it simply needs to be run outside that sandbox (your machine or a CI pipeline) to produce its own pass/fail output.</w:t>
      </w:r>
    </w:p>
    <w:p>
      <w:pPr>
        <w:pStyle w:val="ListParagraph"/>
        <w:numPr>
          <w:ilvl w:val="0"/>
          <w:numId w:val="1"/>
        </w:numPr>
        <w:spacing w:after="80"/>
      </w:pPr>
      <w:r>
        <w:t xml:space="preserve">Google Fonts is blocked by the sandbox's network egress rules, which slightly affects the Best Practices score and shows up as one console error during local testing. This is specific to the closed test environment, not the live site once deployed to normal hosting with normal internet access.</w:t>
      </w:r>
    </w:p>
    <w:p>
      <w:pPr>
        <w:pStyle w:val="ListParagraph"/>
        <w:numPr>
          <w:ilvl w:val="0"/>
          <w:numId w:val="1"/>
        </w:numPr>
        <w:spacing w:after="80"/>
      </w:pPr>
      <w:r>
        <w:t xml:space="preserve">The contact-form functional test uses network-request interception (Playwright) or a skip-by-default live-submit test (Selenium) so that running this test suite never writes synthetic rows into the production website_leads table.</w:t>
      </w:r>
    </w:p>
    <w:p>
      <w:pPr>
        <w:pStyle w:val="Heading1"/>
        <w:spacing w:after="160" w:before="320"/>
      </w:pPr>
      <w:r>
        <w:t xml:space="preserve">8. Overall Verdict</w:t>
      </w:r>
    </w:p>
    <w:p>
      <w:pPr>
        <w:spacing w:after="140"/>
      </w:pPr>
      <w:r>
        <w:t xml:space="preserve">The website is functionally complete against the scope agreed for this engagement, fully accessible (100/100 across every audited page), fast, and built on a genuinely defense-in-depth data model rather than a client-side approximation of one. Sixteen real defects were found and fixed across this engagement, including one high-priority access-control bug caught after initial delivery (Section 3.2) that grew into three new role-based web dashboards (Section 3.3), a Site Visits loading bug caught while building the Phase 3 enhancements (Section 3.4) covering property/visit reassignment, ticket-reply visibility, and the new Visit Detail drill-down, a GPS-caption crash bug caught while building the Phase 4 enhancements (Section 3.6) covering media timestamps, property thumbnails, and the Admin Customer 360 financial statement, a close-button-overlap bug caught while building the Phase 5 enhancements (Section 3.7) covering a persistent, everywhere timestamp/GPS stamp, mandatory GPS on Property Executive uploads, and 30-second auto-refresh across every dashboard, a pre-existing mobile-menu containing-block bug caught while building the Phase 6 enhancements (Section 3.8) covering the nav bar alignment fix and the fixed-size, non-scrolling, maximizable media lightbox, a pre-existing missing-status-color bug caught while building the Phase 7 enhancements (Section 3.9) covering visit-frequency pricing, the redesigned Documents &amp; Invoices screen, and UPI Pay Now, and a repeated-download bug caught while investigating a reported performance problem (Section 3.11) where every property thumbnail was silently re-signed and re-downloaded roughly every 30 seconds regardless of which dashboard tab was open. Section 3.5 closes a content gap on the "My Property" screen (an inspection checklist card) found when the user compared the website directly against the mobile app. Section 3.10 covers the Phase 8 request to remove the on-screen timestamp/GPS overlay from every photo and video across all three dashboards (the underlying capture and storage of that metadata is unchanged), plus confirmation that "My Property" thumbnails already matched the registration photo as requested. Section 3.11 also added a .htaccess enabling compression and browser caching on the live host, and made two smaller hardening changes (lazy-loaded thumbnails, a finite rather than infinite attention-pulse animation). The full functional suite now passes cleanly at 214/214. The remaining items in this report are hygiene recommendations plus the explicitly documented v2 follow-ups in Section 3.3 — none of them block a production launch.</w:t>
      </w:r>
    </w:p>
    <w:p>
      <w:pPr>
        <w:spacing w:after="140"/>
      </w:pPr>
      <w:r>
        <w:rPr>
          <w:i/>
          <w:iCs/>
          <w:color w:val="5B6B76"/>
          <w:sz w:val="20"/>
          <w:szCs w:val="20"/>
        </w:rPr>
        <w:t xml:space="preserve">Prepared as part of the NRI Property Guard website engagement.</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2026-08-28T09:54:46.694Z</dcterms:created>
  <dcterms:modified xsi:type="dcterms:W3CDTF">2026-08-28T09:54:46.695Z</dcterms:modified>
</cp:coreProperties>
</file>

<file path=docProps/custom.xml><?xml version="1.0" encoding="utf-8"?>
<Properties xmlns="http://schemas.openxmlformats.org/officeDocument/2006/custom-properties" xmlns:vt="http://schemas.openxmlformats.org/officeDocument/2006/docPropsVTypes"/>
</file>